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4750" w:type="pct"/>
        <w:jc w:val="center"/>
        <w:tblCellSpacing w:w="0" w:type="dxa"/>
        <w:shd w:val="clear" w:color="auto" w:fill="FFFFFF"/>
        <w:tblCellMar>
          <w:left w:w="0" w:type="dxa"/>
          <w:right w:w="0" w:type="dxa"/>
        </w:tblCellMar>
        <w:tblLook w:val="04A0"/>
      </w:tblPr>
      <w:tblGrid>
        <w:gridCol w:w="10222"/>
      </w:tblGrid>
      <w:tr w:rsidR="00C259DA" w:rsidRPr="00C259DA" w:rsidTr="00C259DA">
        <w:trPr>
          <w:trHeight w:val="360"/>
          <w:tblCellSpacing w:w="0" w:type="dxa"/>
          <w:jc w:val="center"/>
        </w:trPr>
        <w:tc>
          <w:tcPr>
            <w:tcW w:w="0" w:type="auto"/>
            <w:shd w:val="clear" w:color="auto" w:fill="FFFFFF"/>
            <w:tcMar>
              <w:top w:w="54" w:type="dxa"/>
              <w:left w:w="272" w:type="dxa"/>
              <w:bottom w:w="54" w:type="dxa"/>
              <w:right w:w="0" w:type="dxa"/>
            </w:tcMar>
            <w:vAlign w:val="center"/>
            <w:hideMark/>
          </w:tcPr>
          <w:p w:rsidR="00C259DA" w:rsidRPr="00C259DA" w:rsidRDefault="00C259DA" w:rsidP="00C259DA">
            <w:pPr>
              <w:spacing w:after="0" w:line="240" w:lineRule="auto"/>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DOF: 11/07/2018</w:t>
            </w:r>
          </w:p>
        </w:tc>
      </w:tr>
      <w:tr w:rsidR="00C259DA" w:rsidRPr="00C259DA" w:rsidTr="00C259DA">
        <w:trPr>
          <w:tblCellSpacing w:w="0" w:type="dxa"/>
          <w:jc w:val="center"/>
        </w:trPr>
        <w:tc>
          <w:tcPr>
            <w:tcW w:w="0" w:type="auto"/>
            <w:shd w:val="clear" w:color="auto" w:fill="FFFFFF"/>
            <w:tcMar>
              <w:top w:w="136" w:type="dxa"/>
              <w:left w:w="136" w:type="dxa"/>
              <w:bottom w:w="136" w:type="dxa"/>
              <w:right w:w="136" w:type="dxa"/>
            </w:tcMar>
            <w:vAlign w:val="center"/>
            <w:hideMark/>
          </w:tcPr>
          <w:p w:rsidR="00C259DA" w:rsidRPr="00C259DA" w:rsidRDefault="00C259DA" w:rsidP="00C259DA">
            <w:pPr>
              <w:pBdr>
                <w:bottom w:val="single" w:sz="12" w:space="0" w:color="000000"/>
              </w:pBdr>
              <w:spacing w:before="120" w:after="0" w:line="240" w:lineRule="auto"/>
              <w:jc w:val="both"/>
              <w:outlineLvl w:val="0"/>
              <w:rPr>
                <w:rFonts w:ascii="Times New Roman" w:eastAsia="Times New Roman" w:hAnsi="Times New Roman" w:cs="Times New Roman"/>
                <w:b/>
                <w:bCs/>
                <w:color w:val="2F2F2F"/>
                <w:kern w:val="36"/>
                <w:sz w:val="18"/>
                <w:szCs w:val="18"/>
                <w:lang w:eastAsia="es-ES"/>
              </w:rPr>
            </w:pPr>
            <w:r w:rsidRPr="00C259DA">
              <w:rPr>
                <w:rFonts w:ascii="Times" w:eastAsia="Times New Roman" w:hAnsi="Times" w:cs="Times"/>
                <w:b/>
                <w:bCs/>
                <w:color w:val="2F2F2F"/>
                <w:kern w:val="36"/>
                <w:sz w:val="18"/>
                <w:szCs w:val="18"/>
                <w:lang w:eastAsia="es-ES"/>
              </w:rPr>
              <w:t>SEGUNDA Resolución de Modificaciones a la Resolución Miscelánea Fiscal para 2018.</w:t>
            </w:r>
          </w:p>
          <w:p w:rsidR="00C259DA" w:rsidRPr="00C259DA" w:rsidRDefault="00C259DA" w:rsidP="00C259DA">
            <w:pPr>
              <w:pBdr>
                <w:top w:val="single" w:sz="6" w:space="0" w:color="000000"/>
              </w:pBdr>
              <w:spacing w:before="100" w:beforeAutospacing="1" w:after="101" w:line="240" w:lineRule="auto"/>
              <w:jc w:val="both"/>
              <w:outlineLvl w:val="1"/>
              <w:rPr>
                <w:rFonts w:ascii="Arial" w:eastAsia="Times New Roman" w:hAnsi="Arial" w:cs="Arial"/>
                <w:b/>
                <w:bCs/>
                <w:color w:val="2F2F2F"/>
                <w:sz w:val="18"/>
                <w:szCs w:val="18"/>
                <w:lang w:eastAsia="es-ES"/>
              </w:rPr>
            </w:pPr>
            <w:r w:rsidRPr="00C259DA">
              <w:rPr>
                <w:rFonts w:ascii="Arial" w:eastAsia="Times New Roman" w:hAnsi="Arial" w:cs="Arial"/>
                <w:b/>
                <w:bCs/>
                <w:color w:val="2F2F2F"/>
                <w:sz w:val="18"/>
                <w:szCs w:val="18"/>
                <w:lang w:eastAsia="es-ES"/>
              </w:rPr>
              <w:t>Al margen un sello con el Escudo Nacional, que dice: Estados Unidos Mexicanos.- Secretaría de Hacienda y Crédito Público.- Servicio de Administración Tributaria.</w:t>
            </w:r>
          </w:p>
          <w:p w:rsidR="00C259DA" w:rsidRPr="00C259DA" w:rsidRDefault="00C259DA" w:rsidP="00C259DA">
            <w:pPr>
              <w:spacing w:after="101" w:line="240" w:lineRule="auto"/>
              <w:jc w:val="center"/>
              <w:rPr>
                <w:rFonts w:ascii="Arial" w:eastAsia="Times New Roman" w:hAnsi="Arial" w:cs="Arial"/>
                <w:color w:val="2F2F2F"/>
                <w:sz w:val="16"/>
                <w:szCs w:val="16"/>
                <w:lang w:eastAsia="es-ES"/>
              </w:rPr>
            </w:pPr>
            <w:r w:rsidRPr="00C259DA">
              <w:rPr>
                <w:rFonts w:ascii="Arial" w:eastAsia="Times New Roman" w:hAnsi="Arial" w:cs="Arial"/>
                <w:b/>
                <w:bCs/>
                <w:color w:val="2F2F2F"/>
                <w:sz w:val="16"/>
                <w:szCs w:val="16"/>
                <w:lang w:eastAsia="es-ES"/>
              </w:rPr>
              <w:t>SEGUNDA RESOLUCIÓN DE MODIFICACIONES A LA RESOLUCIÓN MISCELÁNEA FISCAL PARA 2018 Y SUS</w:t>
            </w:r>
            <w:r w:rsidRPr="00C259DA">
              <w:rPr>
                <w:rFonts w:ascii="Arial" w:eastAsia="Times New Roman" w:hAnsi="Arial" w:cs="Arial"/>
                <w:color w:val="2F2F2F"/>
                <w:sz w:val="16"/>
                <w:szCs w:val="16"/>
                <w:lang w:eastAsia="es-ES"/>
              </w:rPr>
              <w:br/>
            </w:r>
            <w:r w:rsidRPr="00C259DA">
              <w:rPr>
                <w:rFonts w:ascii="Arial" w:eastAsia="Times New Roman" w:hAnsi="Arial" w:cs="Arial"/>
                <w:b/>
                <w:bCs/>
                <w:color w:val="2F2F2F"/>
                <w:sz w:val="16"/>
                <w:szCs w:val="16"/>
                <w:lang w:eastAsia="es-ES"/>
              </w:rPr>
              <w:t>ANEXOS 1, 1-A, 9, 11, 14, 15, 23 y 24</w:t>
            </w:r>
          </w:p>
          <w:p w:rsidR="00C259DA" w:rsidRPr="00C259DA" w:rsidRDefault="00C259DA" w:rsidP="00C259DA">
            <w:pPr>
              <w:spacing w:after="101" w:line="240" w:lineRule="auto"/>
              <w:ind w:firstLine="288"/>
              <w:jc w:val="both"/>
              <w:rPr>
                <w:rFonts w:ascii="Arial" w:eastAsia="Times New Roman" w:hAnsi="Arial" w:cs="Arial"/>
                <w:color w:val="2F2F2F"/>
                <w:sz w:val="18"/>
                <w:szCs w:val="18"/>
                <w:lang w:eastAsia="es-ES"/>
              </w:rPr>
            </w:pPr>
            <w:r w:rsidRPr="00C259DA">
              <w:rPr>
                <w:rFonts w:ascii="Arial" w:eastAsia="Times New Roman" w:hAnsi="Arial" w:cs="Arial"/>
                <w:color w:val="2F2F2F"/>
                <w:sz w:val="18"/>
                <w:szCs w:val="18"/>
                <w:lang w:eastAsia="es-ES"/>
              </w:rPr>
              <w:t>Con fundamento en los artículos 16 y 31 de la Ley Orgánica de la Administración Pública Federal, 33, fracción I, inciso g) del Código Fiscal de la Federación, 14, fracción III de la Ley del Servicio de Administración Tributaria y 8, primer párrafo del Reglamento Interior del Servicio de Administración Tributaria se resuelve:</w:t>
            </w:r>
          </w:p>
          <w:p w:rsidR="00C259DA" w:rsidRPr="00C259DA" w:rsidRDefault="00C259DA" w:rsidP="00C259DA">
            <w:pPr>
              <w:spacing w:after="101" w:line="240" w:lineRule="auto"/>
              <w:ind w:firstLine="288"/>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PRIMERO. Se reforman</w:t>
            </w:r>
            <w:r w:rsidRPr="00C259DA">
              <w:rPr>
                <w:rFonts w:ascii="Arial" w:eastAsia="Times New Roman" w:hAnsi="Arial" w:cs="Arial"/>
                <w:color w:val="2F2F2F"/>
                <w:sz w:val="18"/>
                <w:szCs w:val="18"/>
                <w:lang w:eastAsia="es-ES"/>
              </w:rPr>
              <w:t> las reglas 1.9., fracciones X, XVII, XVIII, XXVI y XXXIII; 2.3.2., segundo párrafo, fracción II, segundo y tercer párrafos, así como quinto párrafo; 2.3.13.; 2.7.1.24., primer párrafo, tercer párrafo, fracción III, inciso b), numeral 3 y último párrafo, así como referencias; 2.7.1.34.; 2.7.1.38., sexto párrafo; 2.7.5.5.; 2.14.5., fracciones II y III; 2.21.7., fracción III; 3.2.12., primer y segundo párrafos; 3.3.1.8. en epígrafe; 3.3.1.9.; 3.3.1.10., fracciones II y III, así como en referencias; 3.3.1.12., fracción IV y en referencias; 3.3.1.17., epígrafe y sexto párrafo; 3.3.1.18.; 3.3.1.19., fracción IV, primer párrafo y referencias; 3.3.1.21., en referencias; 3.3.1.47., primer párrafo y segundo párrafo, numeral 1, segundo párrafo, así como numeral 4; 3.3.1.48., primer párrafo, segundo párrafo, numeral 1, segundo párrafo y numeral 4; 3.3.1.50., apartado A, primer párrafo; 3.9.3.; 3.9.18.; 3.9.1.1.; 3.9.1.2.; 3.9.1.3.; 3.9.1.4.; 3.10.11., segundo y tercer párrafos, así como referencias; 3.10.13., primer párrafo y referencias; 3.11.3., primer y cuarto párrafos, así como referencias; 3.11.7., primer y cuarto párrafos, así como referencias; 3.15.14.; 3.20.6.; 3.20.8., fracción III; 5.2.8., tercer párrafo y tabla; 5.2.31., fracción II; 10.6., primer párrafo; 10.21., penúltimo párrafo; 11.1.1.; 11.1.9.; 11.8.1., fracciones II, primer párrafo, III, incisos a), b), c), d) y f), numeral 2, así como referencias; </w:t>
            </w:r>
            <w:r w:rsidRPr="00C259DA">
              <w:rPr>
                <w:rFonts w:ascii="Arial" w:eastAsia="Times New Roman" w:hAnsi="Arial" w:cs="Arial"/>
                <w:b/>
                <w:bCs/>
                <w:color w:val="2F2F2F"/>
                <w:sz w:val="18"/>
                <w:szCs w:val="18"/>
                <w:lang w:eastAsia="es-ES"/>
              </w:rPr>
              <w:t>seadicionan </w:t>
            </w:r>
            <w:r w:rsidRPr="00C259DA">
              <w:rPr>
                <w:rFonts w:ascii="Arial" w:eastAsia="Times New Roman" w:hAnsi="Arial" w:cs="Arial"/>
                <w:color w:val="2F2F2F"/>
                <w:sz w:val="18"/>
                <w:szCs w:val="18"/>
                <w:lang w:eastAsia="es-ES"/>
              </w:rPr>
              <w:t>las reglas 2.1.54.; 2.2.15.; 2.3.13., con un segundo párrafo; 2.5.21.; 2.7.1.30., fracción I, con los numerales 6 y 9; 2.7.1.38., con un último párrafo; 2.14.5., fracción II, con un segundo párrafo y con un último párrafo; 3.1.20.; 3.1.21.; 3.3.1.10., con una fracción XIII; 3.3.1.12., con una fracción XIII; 3.3.1.19., fracción V, con un segundo y tercer párrafos, pasando el actual segundo párrafo a ser cuarto párrafo, así como fracción XII; 3.3.1.21., con una fracción XIII; 3.3.1.47., con un segundo párrafo, pasando los actuales segundo y tercero párrafos ser tercero y cuarto párrafos; 3.3.1.48. con un segundo párrafo pasando los actuales segundo y tercero párrafos a ser tercero y cuarto párrafos; 3.5.25.; 3.6.7.; 3.9.1.5.; 3.10.28.; 3.10.29.; 3.10.30.; 3.20.8.,con un último párrafo; 3.21.3.10.; 4.2.7.; 10.6., con un segundo párrafo; 10.10., con un último párrafo; 11.8.1., fracción III, con un último párrafo y </w:t>
            </w:r>
            <w:r w:rsidRPr="00C259DA">
              <w:rPr>
                <w:rFonts w:ascii="Arial" w:eastAsia="Times New Roman" w:hAnsi="Arial" w:cs="Arial"/>
                <w:b/>
                <w:bCs/>
                <w:color w:val="2F2F2F"/>
                <w:sz w:val="18"/>
                <w:szCs w:val="18"/>
                <w:lang w:eastAsia="es-ES"/>
              </w:rPr>
              <w:t>se derogan </w:t>
            </w:r>
            <w:r w:rsidRPr="00C259DA">
              <w:rPr>
                <w:rFonts w:ascii="Arial" w:eastAsia="Times New Roman" w:hAnsi="Arial" w:cs="Arial"/>
                <w:color w:val="2F2F2F"/>
                <w:sz w:val="18"/>
                <w:szCs w:val="18"/>
                <w:lang w:eastAsia="es-ES"/>
              </w:rPr>
              <w:t>las reglas 2.4.8.; 2.7.1.30., fracción V; 3.9.4.; 3.17.13., de la Resolución Miscelánea Fiscal para 2018, para quedar de la siguiente manera:</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b/>
                <w:bCs/>
                <w:color w:val="2F2F2F"/>
                <w:sz w:val="18"/>
                <w:szCs w:val="18"/>
                <w:lang w:eastAsia="es-ES"/>
              </w:rPr>
              <w:t>"Anexos de la RMF</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1.9.</w:t>
            </w:r>
            <w:r w:rsidRPr="00C259DA">
              <w:rPr>
                <w:rFonts w:ascii="Arial" w:eastAsia="Times New Roman" w:hAnsi="Arial" w:cs="Arial"/>
                <w:color w:val="2F2F2F"/>
                <w:sz w:val="20"/>
                <w:szCs w:val="20"/>
                <w:lang w:eastAsia="es-ES"/>
              </w:rPr>
              <w:t>              .......................................................................................................................</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X.</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Anexo 9, por el que se da a conocer la "Tabla a que se refiere la regla 3.15.1. de la Resolución Miscelánea Fiscal para 2018, para la opción de actualización de deducciones que señala el artículo 121 de la Ley del ISR".</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XVII.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Anexo 16, que contiene los instructivos de integración y de características, los formatos guía para la presentación del dictamen de estados financieros para efectos fiscales emitido por contador público inscrito, y de los cuestionarios relativos a la revisión efectuada por el contador público, por el ejercicio fiscal de 2017, utilizando el sistema de presentación del dictamen 2017 (SIPRED 2017).</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XVIII.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Anexo 16-A, que contiene los instructivos de integración y de características, los formatos guía para la presentación del dictamen de estados financieros para efectos fiscales emitido por contador público inscrito, por el ejercicio fiscal de 2017, utilizando el sistema de presentación del dictamen 2017(SIPRED 2017).</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XXVI.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Anexo 24, que se refiere a la Contabilidad en Medios Electrónicos.</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XXXIII.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Anexo 29, que contiene las conductas que se configuran en incumplimientos de las especificaciones tecnológicas determinadas por el SAT, al enviar CFDI a dicho órgano desconcentrado a que se refieren los artículos 81, fracción XLIII y 82, fracción XL del CFF.</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18"/>
                <w:szCs w:val="18"/>
                <w:lang w:eastAsia="es-ES"/>
              </w:rPr>
              <w:t> </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eastAsia="es-ES"/>
              </w:rPr>
              <w:t>CFF 28, 31, 32, 33, 35, 81, 82, LISR 5, 121, 178, RCFF 45, RMF 2018 3.5.8., 3.15.1.</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b/>
                <w:bCs/>
                <w:color w:val="2F2F2F"/>
                <w:sz w:val="18"/>
                <w:szCs w:val="18"/>
                <w:lang w:eastAsia="es-ES"/>
              </w:rPr>
              <w:t>Transmisión de activos y pasivos de un establecimiento permanente en el extranjero</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2.1.54.</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Para efectos del artículo 14 del CFF, las personas morales residentes en el país que sean contribuyentes del Título II de la Ley del ISR, que realicen actividades empresariales en el extranjero y que por ellas constituyan un establecimiento permanente, podrán transmitir la totalidad de los activos y pasivos que conforman el patrimonio afecto a las actividades del establecimiento permanente, a otra persona moral residente en México que forme parte del mismo grupo de sociedades, definido en los términos del artículo 24 de la Ley del ISR, sin considerar que se realiza la enajenación de los mismos, siempre que obtengan autorización de las autoridades fiscales de conformidad con la ficha de trámite 273/CFF "Solicitud de autorización para transmitir activos y pasivos de un establecimiento permanente en el extranjero", contenida en el Anexo 1-A y cumplan con los siguientes requisitos:</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lastRenderedPageBreak/>
              <w:t>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Que la transmisión se realice por la totalidad de los activos y pasivos afectos a la actividad del establecimiento permanente, como consecuencia de una reestructuración corporativa entre empresas y negociaciones pertenecientes al mismo grupo.</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Que los activos fijos afectos a la actividad que realice el establecimiento permanente en el extranjero, permanezcan en propiedad directa de la persona moral del mismo grupo que los adquiera, por un plazo no menor a 3 años a partir de la autorización de transmisión y siempre que dichos activos hayan estado afectos a la actividad por un periodo no menor a 1 año antes de la solicitud. Asimismo, la persona moral adquirente deberá permanecer dentro del grupo los tres ejercicios siguientes a aquél en el que se emita la autorización.</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Las inversiones, inventarios y activos fijos transmitidos tendrán para la sociedad adquirente el mismo saldo pendiente de depreciar y el mismo costo de adquisición que tenían en la sociedad enajenante. Para estos efectos, los activos fijos e inversiones que concluyan su vida útil podrán ser enajenados considerando como saldo pendiente de depreciar un peso.</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El adquirente de las inversiones y los activos fijos deberá registrarlos en su contabilidad con un monto de inversión pendiente de deducir equivalente al saldo pendiente de deducir que tenía registrado la enajenante a la fecha de la autorización y dicho valor se deducirá en el número de años que quedabanpendientes para la enajenante.</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Los saldos pendientes de deducir relacionados con bienes con trato diferencial en México, se sujetarán a las limitantes establecidas en la Ley del ISR.</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IV.</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Si la transmisión del patrimonio afecto al establecimiento permanente da lugar al pago del ISR en el extranjero por el ingreso correspondiente a la enajenación del mismo, la sociedad enajenante deberá renunciar expresamente a su acreditamiento en la solicitud correspondiente.</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V.</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Que la contraprestación que se pague por el patrimonio transmitido, consista únicamente en acciones emitidas por la sociedad adquirente del mismo. Las acciones que reciba el enajenante por el patrimonio transmitido, o el incremento de valor de las mismas que esto genere, no tendrán efecto alguno en la determinación del costo promedio por acción para los efectos de los artículos 22 y 23 de la Ley del ISR. Para estos efectos, a la aportación del patrimonio del establecimiento permanente se le dará el mismo tratamiento que a la capitalización de utilidades retenidas en la sociedad adquirente de conformidad con el artículo 78 de la Ley del ISR.</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VI.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Las acciones que emita el adquirente deberán ser equivalentes al valor para efectos contables del patrimonio afecto al establecimiento permanente.</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En el caso de que el valor contable de los pasivos sea superior al valor contable total de los activos que se transmitan, la diferencia se considerará como ingreso</w:t>
            </w:r>
          </w:p>
          <w:p w:rsidR="00C259DA" w:rsidRPr="00C259DA" w:rsidRDefault="00C259DA" w:rsidP="00C259DA">
            <w:pPr>
              <w:spacing w:after="101" w:line="240" w:lineRule="auto"/>
              <w:jc w:val="both"/>
              <w:rPr>
                <w:rFonts w:ascii="Arial" w:eastAsia="Times New Roman" w:hAnsi="Arial" w:cs="Arial"/>
                <w:color w:val="2F2F2F"/>
                <w:sz w:val="18"/>
                <w:szCs w:val="18"/>
                <w:lang w:eastAsia="es-ES"/>
              </w:rPr>
            </w:pPr>
            <w:r w:rsidRPr="00C259DA">
              <w:rPr>
                <w:rFonts w:ascii="Arial" w:eastAsia="Times New Roman" w:hAnsi="Arial" w:cs="Arial"/>
                <w:color w:val="2F2F2F"/>
                <w:sz w:val="18"/>
                <w:szCs w:val="18"/>
                <w:lang w:eastAsia="es-ES"/>
              </w:rPr>
              <w:t>acumulable; asimismo, en el caso que al momento de su transmisión se realice un ajuste al valor contable de los pasivos, el mismo se considerará como ingreso acumulable para la persona que los transmita.</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Para estos efectos, se entiende que activos consisten en la totalidad de las inversiones, activos fijos, inventarios, activos monetarios y en general cualquier bien o derecho afecto al patrimonio del establecimiento permanente.</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Si posterior a su trasmisión, los pasivos a que se refiere esta fracción se capitalizan, estos no generarán un costo comprobado de adquisición y no se considerarán para efectos de la Cuenta de Capital de Aportación para efectos de los artículos 22 y 78 de la Ley del ISR y demás disposiciones fiscales.</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VII.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El adquirente considerará un incremento en el capital social equivalente al valor neto del patrimonio adquirido, aunque éste no genere efectos en el costo fiscal de las acciones para efectos del ISR. El incremento deberá protocolizarse ante notario público, haciendo constar en dicha acta el origen de dicha operación y los datos de la autorización correspondiente.</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VIII.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Que el establecimiento permanente se ubique en un país con el que México tenga celebrado un tratado para evitar la doble tributación, un tratado de intercambio de información o un tratado de asistencia en el cobro de créditos fiscales.</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IX.</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Que el establecimiento permanente haya tributado como tal en el país en el que se realizaron las actividades por un periodo no menor a 3 años anteriores a la fecha en la que se presente la solicitud.</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X.</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Que la adquirente realice a través del establecimiento permanente las mismas actividades que se realizaban antes de la solicitud de autorización.</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XI.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En caso de que, al momento de realizarse la transmisión del patrimonio afecto al establecimiento permanente, la adquirente tenga pendiente de amortizar pérdidas fiscales sufridas en ejercicios anteriores, dichas pérdidas sufridas con anterioridad no podrán aplicarse en contra de los ingresos o las ganancias que genere el establecimiento.</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Adicionalmente, las personas morales que realicen las operaciones al amparo de la presente regla deberán dictaminarlas por contador público inscrito y presentar los dictámenes respectivos ante las autoridades fiscales de conformidad con la ficha de trámite 274/CFF "Presentación del dictamen por la transmisión de activos y pasivos de un establecimiento permanente en el extranjero", contenida en el Anexo 1-A.</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No obstante que se haya cumplido con el requisito establecido en la fracción I de esta regla, cualquier activo fijo que sea enajenado antes de concluir el plazo de 3 años a que se refiere la fracción II, tendrá un costo fiscal cero y para su enajenación se considerará el valor de mercado del mismo como ingreso acumulable. Si por dicha enajenación se paga ISR en el país en el que se encuentra afecto a la actividad, el impuesto correspondiente no será acreditable en México.</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eastAsia="es-ES"/>
              </w:rPr>
              <w:t>CFF 14, LISR 22, 23, 24, 78</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b/>
                <w:bCs/>
                <w:color w:val="2F2F2F"/>
                <w:sz w:val="18"/>
                <w:szCs w:val="18"/>
                <w:lang w:eastAsia="es-ES"/>
              </w:rPr>
              <w:t>Requisitos para la solicitud del certificado de e.firma y solicitud de renovación del Certificado de e.firma</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2.2.15.</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Para los efectos del artículo 17-D del CFF, el SAT proporcionará el Certificado de e.firma a las personas que lo soliciten, siempre que proporcionen la información relacionada con su identidad, domicilio y, en general sobre su situación fiscal, dicho certificado contendrá los requisitos señalados en la regla 2.2.3.</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lastRenderedPageBreak/>
              <w:t>                   </w:t>
            </w:r>
            <w:r w:rsidRPr="00C259DA">
              <w:rPr>
                <w:rFonts w:ascii="Arial" w:eastAsia="Times New Roman" w:hAnsi="Arial" w:cs="Arial"/>
                <w:color w:val="2F2F2F"/>
                <w:sz w:val="18"/>
                <w:szCs w:val="18"/>
                <w:lang w:eastAsia="es-ES"/>
              </w:rPr>
              <w:t>En caso de que los solicitantes, no acrediten su identidad, domicilio y, en general su situación fiscal, el SAT informará a los solicitantes, sobre las inconsistencias encontradas, entregando, el "Acuse de presentación con información inconclusa de la solicitud del Certificado de e.firma y solicitud de la renovación del Certificado de e.firma".</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Los solicitantes que se ubiquen en el supuesto señalado en el párrafo anterior, contarán con un plazo de seis días contados a partir del día siguiente al de la presentación de la solicitud del Certificado de e.firma, para que aclaren y exhiban de conformidad con la ficha de trámite 197/CFF "Aclaración a la solicitud del Certificado de e.firma y solicitud de la renovación del</w:t>
            </w:r>
          </w:p>
          <w:p w:rsidR="00C259DA" w:rsidRPr="00C259DA" w:rsidRDefault="00C259DA" w:rsidP="00C259DA">
            <w:pPr>
              <w:spacing w:after="101" w:line="240" w:lineRule="auto"/>
              <w:jc w:val="both"/>
              <w:rPr>
                <w:rFonts w:ascii="Arial" w:eastAsia="Times New Roman" w:hAnsi="Arial" w:cs="Arial"/>
                <w:color w:val="2F2F2F"/>
                <w:sz w:val="18"/>
                <w:szCs w:val="18"/>
                <w:lang w:eastAsia="es-ES"/>
              </w:rPr>
            </w:pPr>
            <w:r w:rsidRPr="00C259DA">
              <w:rPr>
                <w:rFonts w:ascii="Arial" w:eastAsia="Times New Roman" w:hAnsi="Arial" w:cs="Arial"/>
                <w:color w:val="2F2F2F"/>
                <w:sz w:val="18"/>
                <w:szCs w:val="18"/>
                <w:lang w:eastAsia="es-ES"/>
              </w:rPr>
              <w:t>Certificado de e.firma", contenida en el Anexo 1-A, en la ADSC en la que inició el citado trámite, la documentación para la conclusión del trámite.</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En caso de que en el plazo previsto no se realice la aclaración, se tendrá por no presentada la solicitud del Certificado de e.firma.</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En la aclaración el solicitante deberá manifestar bajo protesta de decir verdad los aspectos siguientes:</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Que el domicilio manifestado en el momento de la inscripción en el RFC o último cambio de domicilio, se considera domicilio fiscal al ubicarse en cualquiera de los supuestos previstos en el artículo 10 del CFF.</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En caso de no tratarse de un inmueble propio, la relación contractual por virtud de la cual se encuentra en posesión del mismo para el desarrollo de sus actividades.</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Cuando el domicilio coincida con el de otros contribuyentes, deberá señalar el tipo de relación existente entre el solicitante y dichos contribuyentes, así como su nombre y clave en el RFC, o bien, que no existe ninguna relación entre el solicitante y los contribuyentes.</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IV.</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En el caso de personas morales, la relación que tiene el apoderado o representante legal con la persona moral de la cual pretende obtener el Certificado de e.firma, señalando su propia clave en el RFC, si su desempeño como representante se trata de una relación de trabajo subordinada o le presta servicios profesionales independientes, así como si los socios o accionistas de la persona moral de la que se pretende obtener el Certificado de e.firma, son socios o accionistas o tienen alguna relación con contribuyentes publicados por el SAT en el listado a que se refiere el artículo 69-B, tercer párrafo del CFF.</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La ADSC resolverá la aclaración en un plazo de diez días hábiles contados a partir del día hábil siguiente a aquél a que se recibió la misma. Para conocer la respuesta, el solicitante acudirá a la ADSC en la que presentó su trámite de aclaración.</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Cuando del análisis de la solicitud de aclaración y de la documentación que hubiera anexado, la aclaración haya sido procedente, la ADSC proporcionará el Certificado de e.firma, en caso contrario, se tendrá por no presentada la solicitud, dejando a salvo el derecho del contribuyente para volver a presentar el trámite.</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eastAsia="es-ES"/>
              </w:rPr>
              <w:t>CFF 10, 17-D, 69-B, RMF 2018 2.2.3</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b/>
                <w:bCs/>
                <w:color w:val="2F2F2F"/>
                <w:sz w:val="18"/>
                <w:szCs w:val="18"/>
                <w:lang w:eastAsia="es-ES"/>
              </w:rPr>
              <w:t>Saldos a favor del ISR de personas físicas</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2.3.2.</w:t>
            </w:r>
            <w:r w:rsidRPr="00C259DA">
              <w:rPr>
                <w:rFonts w:ascii="Arial" w:eastAsia="Times New Roman" w:hAnsi="Arial" w:cs="Arial"/>
                <w:color w:val="2F2F2F"/>
                <w:sz w:val="20"/>
                <w:szCs w:val="20"/>
                <w:lang w:eastAsia="es-ES"/>
              </w:rPr>
              <w:t>           .......................................................................................................................</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II.</w:t>
            </w:r>
            <w:r w:rsidRPr="00C259DA">
              <w:rPr>
                <w:rFonts w:ascii="Arial" w:eastAsia="Times New Roman" w:hAnsi="Arial" w:cs="Arial"/>
                <w:color w:val="2F2F2F"/>
                <w:sz w:val="20"/>
                <w:szCs w:val="20"/>
                <w:lang w:eastAsia="es-ES"/>
              </w:rPr>
              <w:t>         ............................................................................................................</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El resultado que se obtenga de la declaración que hubiere ingresado a la facilidad administrativa, estará a su disposición ingresando al buzón tributario y en caso de contribuyentes no obligados a contar con dicho buzón, o que promovieron algún medio de defensa en el que se les haya otorgado la suspensión respecto del uso de éste como medio de comunicación podrán verificar el resultado en el apartado de "Trámites" disponible en el Portal del SAT.</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Cuando el resultado que se obtenga no conlleve a la devolución total o parcial del saldo declarado, el contribuyente podrá solventar las inconsistencias detectadas en el momento de realizar la consulta del resultado, cuando se habilite la opción "solventar inconsistencias", para lo cual deberá contar con su clave en el RFC, la Contraseña para el acceso al portal y certificado de e.firma vigente o la e.firmaportable, generándose automáticamente su solicitud de devolución vía FED.</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Los contribuyentes que no se ubiquen en los supuestos para aplicar la facilidad prevista en la presente regla o cuando el resultado que obtenga de su solicitud no conlleve a la devolución total del saldo declarado y no hubieren optado por "solventar las inconsistencias"</w:t>
            </w:r>
          </w:p>
          <w:p w:rsidR="00C259DA" w:rsidRPr="00C259DA" w:rsidRDefault="00C259DA" w:rsidP="00C259DA">
            <w:pPr>
              <w:spacing w:after="101" w:line="240" w:lineRule="auto"/>
              <w:jc w:val="both"/>
              <w:rPr>
                <w:rFonts w:ascii="Arial" w:eastAsia="Times New Roman" w:hAnsi="Arial" w:cs="Arial"/>
                <w:color w:val="2F2F2F"/>
                <w:sz w:val="18"/>
                <w:szCs w:val="18"/>
                <w:lang w:eastAsia="es-ES"/>
              </w:rPr>
            </w:pPr>
            <w:r w:rsidRPr="00C259DA">
              <w:rPr>
                <w:rFonts w:ascii="Arial" w:eastAsia="Times New Roman" w:hAnsi="Arial" w:cs="Arial"/>
                <w:color w:val="2F2F2F"/>
                <w:sz w:val="18"/>
                <w:szCs w:val="18"/>
                <w:lang w:eastAsia="es-ES"/>
              </w:rPr>
              <w:t>al consultar el resultado de la devolución automática, podrán solicitar la devolución de su saldo a favor o del remanente no autorizado según corresponda a través del FED; ingresando al "Buzón Tributario" o a través del apartado de "Trámites" disponible en el Portal del SAT, para lo cual deberán contar con su clave en el RFC, la Contraseña para el acceso al portal y certificado de e.firma vigente o la e.firma portable para realizar su envío.</w:t>
            </w:r>
          </w:p>
          <w:p w:rsidR="00C259DA" w:rsidRPr="00C259DA" w:rsidRDefault="00C259DA" w:rsidP="00C259DA">
            <w:pPr>
              <w:spacing w:after="101" w:line="240" w:lineRule="auto"/>
              <w:ind w:hanging="1152"/>
              <w:jc w:val="both"/>
              <w:rPr>
                <w:rFonts w:ascii="Arial" w:eastAsia="Times New Roman" w:hAnsi="Arial" w:cs="Arial"/>
                <w:color w:val="2F2F2F"/>
                <w:sz w:val="18"/>
                <w:szCs w:val="18"/>
                <w:lang w:val="en-US"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20"/>
                <w:szCs w:val="20"/>
                <w:lang w:val="en-US" w:eastAsia="es-ES"/>
              </w:rPr>
              <w:t>.......................................................................................................................</w:t>
            </w:r>
          </w:p>
          <w:p w:rsidR="00C259DA" w:rsidRPr="00C259DA" w:rsidRDefault="00C259DA" w:rsidP="00C259DA">
            <w:pPr>
              <w:spacing w:after="101" w:line="240" w:lineRule="auto"/>
              <w:ind w:hanging="1152"/>
              <w:jc w:val="both"/>
              <w:rPr>
                <w:rFonts w:ascii="Arial" w:eastAsia="Times New Roman" w:hAnsi="Arial" w:cs="Arial"/>
                <w:color w:val="2F2F2F"/>
                <w:sz w:val="18"/>
                <w:szCs w:val="18"/>
                <w:lang w:val="en-US" w:eastAsia="es-ES"/>
              </w:rPr>
            </w:pPr>
            <w:r w:rsidRPr="00C259DA">
              <w:rPr>
                <w:rFonts w:ascii="Arial" w:eastAsia="Times New Roman" w:hAnsi="Arial" w:cs="Arial"/>
                <w:color w:val="2F2F2F"/>
                <w:sz w:val="20"/>
                <w:szCs w:val="20"/>
                <w:lang w:val="en-US" w:eastAsia="es-ES"/>
              </w:rPr>
              <w:t>                   </w:t>
            </w:r>
            <w:r w:rsidRPr="00C259DA">
              <w:rPr>
                <w:rFonts w:ascii="Arial" w:eastAsia="Times New Roman" w:hAnsi="Arial" w:cs="Arial"/>
                <w:i/>
                <w:iCs/>
                <w:color w:val="2F2F2F"/>
                <w:sz w:val="18"/>
                <w:szCs w:val="18"/>
                <w:lang w:val="en-US" w:eastAsia="es-ES"/>
              </w:rPr>
              <w:t>CFF 18, 22, 22-A, 22-B, 23, LISR 97, 98, 151, RMF 2018 2.3.6.</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val="en-US" w:eastAsia="es-ES"/>
              </w:rPr>
              <w:t>                   </w:t>
            </w:r>
            <w:r w:rsidRPr="00C259DA">
              <w:rPr>
                <w:rFonts w:ascii="Arial" w:eastAsia="Times New Roman" w:hAnsi="Arial" w:cs="Arial"/>
                <w:b/>
                <w:bCs/>
                <w:color w:val="2F2F2F"/>
                <w:sz w:val="18"/>
                <w:szCs w:val="18"/>
                <w:lang w:eastAsia="es-ES"/>
              </w:rPr>
              <w:t>Cumplimiento de la obligación de presentar aviso de compensación</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2.3.13.</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Los contribuyentes que presenten sus declaraciones de pagos provisionales, definitivos o anuales a través del "Servicio de Declaraciones y Pagos" a que se refiere el Capítulo 2.9. y la Sección 2.8.5., en las que les resulte saldo a cargo y opten por pagarlo mediante compensación de saldos a favor manifestados en declaraciones de pagos provisionales, definitivos o anuales presentados de igual forma a través del "Servicio de Declaraciones yPagos", tendrán por cumplida la obligación de presentar el aviso de compensación, así como los anexos a que se refiere la regla 2.3.10.</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lastRenderedPageBreak/>
              <w:t>                   </w:t>
            </w:r>
            <w:r w:rsidRPr="00C259DA">
              <w:rPr>
                <w:rFonts w:ascii="Arial" w:eastAsia="Times New Roman" w:hAnsi="Arial" w:cs="Arial"/>
                <w:color w:val="2F2F2F"/>
                <w:sz w:val="18"/>
                <w:szCs w:val="18"/>
                <w:lang w:eastAsia="es-ES"/>
              </w:rPr>
              <w:t>No obstante lo anterior, tratándose de contribuyentes personas físicas que tributan en el Título IV, Capítulo II, Sección II de la Ley del ISR, deberán presentar la información que señala la regla 2.3.10., fracción II.</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eastAsia="es-ES"/>
              </w:rPr>
              <w:t>CFF 23, 31, 32-A, RMF 2018 2.3.10., 2.8.5., 2.9.</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b/>
                <w:bCs/>
                <w:color w:val="2F2F2F"/>
                <w:sz w:val="18"/>
                <w:szCs w:val="18"/>
                <w:lang w:eastAsia="es-ES"/>
              </w:rPr>
              <w:t>Requisitos para la solicitud de inscripción en el RFC</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2.4.8.</w:t>
            </w:r>
            <w:r w:rsidRPr="00C259DA">
              <w:rPr>
                <w:rFonts w:ascii="Arial" w:eastAsia="Times New Roman" w:hAnsi="Arial" w:cs="Arial"/>
                <w:color w:val="2F2F2F"/>
                <w:sz w:val="20"/>
                <w:szCs w:val="20"/>
                <w:lang w:eastAsia="es-ES"/>
              </w:rPr>
              <w:t>           </w:t>
            </w:r>
            <w:r w:rsidRPr="00C259DA">
              <w:rPr>
                <w:rFonts w:ascii="Arial" w:eastAsia="Times New Roman" w:hAnsi="Arial" w:cs="Arial"/>
                <w:b/>
                <w:bCs/>
                <w:color w:val="2F2F2F"/>
                <w:sz w:val="18"/>
                <w:szCs w:val="18"/>
                <w:lang w:eastAsia="es-ES"/>
              </w:rPr>
              <w:t>(Se deroga)</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b/>
                <w:bCs/>
                <w:color w:val="2F2F2F"/>
                <w:sz w:val="18"/>
                <w:szCs w:val="18"/>
                <w:lang w:eastAsia="es-ES"/>
              </w:rPr>
              <w:t>Contribuyentes relevados de presentar el aviso de inicio de liquidación y el de cancelación en el RFC por liquidación total del activo</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2.5.21.</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Para los efectos del artículo 27, primer y décimo primer párrafos del CFF, en relación con los artículos 29, fracciones X y XIV, y 30, fracciones VII y XI de su Reglamento, cuando las personas morales lleven a cabo su disolución y liquidación a través del Portal www.gob.mx/Tuempresa resultando procedente con base en la información con que cuente la Secretaría de Economía, y una vez que el SAT verifique que dichas personas se encuentren al corriente en el cumplimiento de sus obligaciones fiscales, se ajusten a la normatividad fiscalaplicable, no se encuentren en facultades de comprobación por la autoridad fiscal y hayan indicado en el mencionado Portal que su domicilio fiscal es el mismo que se encuentra registrado en el SAT, podrán quedar relevados de presentar tanto el aviso de inicio de liquidación como el de cancelación en el RFC por liquidación total de activo.</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Una vez cumplido lo que establece el párrafo primero de la presente regla, el SAT, a través del buzón tributario podrá notificar al contribuyente sobre la procedencia de haber quedado relevado o no de presentar el aviso de inicio de liquidación. Posteriormente, se notificará al contribuyente sobre quedar relevado o no de presentar el aviso de cancelación en el RFC por liquidación total del activo dentro del plazo de diez días hábiles contado a partir del día hábil siguiente a aquél en el que la Secretaría de Economía haya avisado al SAT que realizó la inscripción de la cancelación del folio de la sociedad en el Registro Público de Comercio.</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En el caso de que las personas morales decidan no concluir su liquidación en el Portal www.gob.mx/Tuempresa, el SAT no tendrá por presentados los avisos de inicio de liquidación, y el de cancelación en el RFC por liquidación total de activo, por lo que tendrá que acudir a la ADSC y cumplir con la normatividad fiscal aplicable para tal efecto.</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eastAsia="es-ES"/>
              </w:rPr>
              <w:t>CFF 27, RCFF 29, 30</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b/>
                <w:bCs/>
                <w:color w:val="2F2F2F"/>
                <w:sz w:val="18"/>
                <w:szCs w:val="18"/>
                <w:lang w:eastAsia="es-ES"/>
              </w:rPr>
              <w:t>Expedición de comprobantes en operaciones con el público en general</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2.7.1.24.</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Para los efectos de los artículos 29 y 29-A, fracción IV, segundo párrafo del CFF y 39 del Reglamento del CFF, los contribuyentes podrán elaborar un CFDI diario, semanal o mensual donde consten los importes correspondientes a cada una de las operaciones</w:t>
            </w:r>
          </w:p>
          <w:p w:rsidR="00C259DA" w:rsidRPr="00C259DA" w:rsidRDefault="00C259DA" w:rsidP="00C259DA">
            <w:pPr>
              <w:spacing w:after="101" w:line="240" w:lineRule="auto"/>
              <w:jc w:val="both"/>
              <w:rPr>
                <w:rFonts w:ascii="Arial" w:eastAsia="Times New Roman" w:hAnsi="Arial" w:cs="Arial"/>
                <w:color w:val="2F2F2F"/>
                <w:sz w:val="18"/>
                <w:szCs w:val="18"/>
                <w:lang w:eastAsia="es-ES"/>
              </w:rPr>
            </w:pPr>
            <w:r w:rsidRPr="00C259DA">
              <w:rPr>
                <w:rFonts w:ascii="Arial" w:eastAsia="Times New Roman" w:hAnsi="Arial" w:cs="Arial"/>
                <w:color w:val="2F2F2F"/>
                <w:sz w:val="18"/>
                <w:szCs w:val="18"/>
                <w:lang w:eastAsia="es-ES"/>
              </w:rPr>
              <w:t>realizadas con el público en general del periodo al que corresponda y el número de folio o de operación de los comprobantes de operaciones con el público en general que se hubieran emitido, utilizando para ello la clave genérica en el RFC a que se refiere la regla 2.7.1.26. Los contribuyentes que tributen en el RIF podrán elaborar el CFDI de referencia de forma bimestral a través de la aplicación electrónica "Mis cuentas", incluyendo únicamente el monto total de las operaciones del bimestre y el periodo correspondiente.</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III.</w:t>
            </w:r>
            <w:r w:rsidRPr="00C259DA">
              <w:rPr>
                <w:rFonts w:ascii="Arial" w:eastAsia="Times New Roman" w:hAnsi="Arial" w:cs="Arial"/>
                <w:color w:val="2F2F2F"/>
                <w:sz w:val="20"/>
                <w:szCs w:val="20"/>
                <w:lang w:eastAsia="es-ES"/>
              </w:rPr>
              <w:t>        ............................................................................................................</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b)</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Que los equipos para el registro de las operaciones con el público en general cumplan con los siguientes requisitos:</w:t>
            </w:r>
          </w:p>
          <w:p w:rsidR="00C259DA" w:rsidRPr="00C259DA" w:rsidRDefault="00C259DA" w:rsidP="00C259DA">
            <w:pPr>
              <w:spacing w:after="101" w:line="240" w:lineRule="auto"/>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3.</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Contar con la capacidad de emitir comprobantes que reúnan los requisitos a que se refiere el inciso a) de la presente fracción.</w:t>
            </w:r>
          </w:p>
          <w:p w:rsidR="00C259DA" w:rsidRPr="00C259DA" w:rsidRDefault="00C259DA" w:rsidP="00C259DA">
            <w:pPr>
              <w:spacing w:after="101" w:line="240" w:lineRule="auto"/>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Cuando los adquirentes de los bienes o receptores de los servicios no soliciten comprobantes de operaciones realizadas con el público en general, los contribuyentes no estarán obligados a expedirlos por operaciones celebradas con el público en general, cuyo importe sea inferior a $100.00 (cien pesos 00/100 M.N.), o bien, inferior a $250.00 (doscientos cincuenta pesos 00/100 M.N.) tratándose de contribuyentes que tributen en elRIF, acorde a lo dispuesto en el artículo 112, fracción IV, segundo párrafo de la Ley del ISR.</w:t>
            </w:r>
          </w:p>
          <w:p w:rsidR="00C259DA" w:rsidRPr="00C259DA" w:rsidRDefault="00C259DA" w:rsidP="00C259DA">
            <w:pPr>
              <w:spacing w:after="101" w:line="240" w:lineRule="auto"/>
              <w:ind w:hanging="1152"/>
              <w:jc w:val="both"/>
              <w:rPr>
                <w:rFonts w:ascii="Arial" w:eastAsia="Times New Roman" w:hAnsi="Arial" w:cs="Arial"/>
                <w:color w:val="2F2F2F"/>
                <w:sz w:val="18"/>
                <w:szCs w:val="18"/>
                <w:lang w:val="en-US"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val="en-US" w:eastAsia="es-ES"/>
              </w:rPr>
              <w:t>CFF 29, 29-A, RCFF 39, LISR 112, RMF 2018 2.7.1.26., 2.8.1.5.</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val="en-US" w:eastAsia="es-ES"/>
              </w:rPr>
              <w:t>                   </w:t>
            </w:r>
            <w:r w:rsidRPr="00C259DA">
              <w:rPr>
                <w:rFonts w:ascii="Arial" w:eastAsia="Times New Roman" w:hAnsi="Arial" w:cs="Arial"/>
                <w:b/>
                <w:bCs/>
                <w:color w:val="2F2F2F"/>
                <w:sz w:val="18"/>
                <w:szCs w:val="18"/>
                <w:lang w:eastAsia="es-ES"/>
              </w:rPr>
              <w:t>Integración de la clave vehicular</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2.7.1.30.</w:t>
            </w:r>
            <w:r w:rsidRPr="00C259DA">
              <w:rPr>
                <w:rFonts w:ascii="Arial" w:eastAsia="Times New Roman" w:hAnsi="Arial" w:cs="Arial"/>
                <w:color w:val="2F2F2F"/>
                <w:sz w:val="20"/>
                <w:szCs w:val="20"/>
                <w:lang w:eastAsia="es-ES"/>
              </w:rPr>
              <w:t>       .......................................................................................................................</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w:t>
            </w:r>
            <w:r w:rsidRPr="00C259DA">
              <w:rPr>
                <w:rFonts w:ascii="Arial" w:eastAsia="Times New Roman" w:hAnsi="Arial" w:cs="Arial"/>
                <w:color w:val="2F2F2F"/>
                <w:sz w:val="20"/>
                <w:szCs w:val="20"/>
                <w:lang w:eastAsia="es-ES"/>
              </w:rPr>
              <w:t>          ............................................................................................................</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color w:val="2F2F2F"/>
                <w:sz w:val="18"/>
                <w:szCs w:val="18"/>
                <w:lang w:eastAsia="es-ES"/>
              </w:rPr>
              <w:t>6</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Vehículos híbridos. Tratándose de automóviles, camionetas y camiones.</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color w:val="2F2F2F"/>
                <w:sz w:val="18"/>
                <w:szCs w:val="18"/>
                <w:lang w:eastAsia="es-ES"/>
              </w:rPr>
              <w:t>9</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Vehículos eléctricos. Tratándose de automóviles, camionetas y camiones.</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V.</w:t>
            </w:r>
            <w:r w:rsidRPr="00C259DA">
              <w:rPr>
                <w:rFonts w:ascii="Arial" w:eastAsia="Times New Roman" w:hAnsi="Arial" w:cs="Arial"/>
                <w:color w:val="2F2F2F"/>
                <w:sz w:val="20"/>
                <w:szCs w:val="20"/>
                <w:lang w:eastAsia="es-ES"/>
              </w:rPr>
              <w:t>         </w:t>
            </w:r>
            <w:r w:rsidRPr="00C259DA">
              <w:rPr>
                <w:rFonts w:ascii="Arial" w:eastAsia="Times New Roman" w:hAnsi="Arial" w:cs="Arial"/>
                <w:b/>
                <w:bCs/>
                <w:color w:val="2F2F2F"/>
                <w:sz w:val="18"/>
                <w:szCs w:val="18"/>
                <w:lang w:eastAsia="es-ES"/>
              </w:rPr>
              <w:t>(Se deroga)</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eastAsia="es-ES"/>
              </w:rPr>
              <w:t>CFF 29-A, RMF 2018 8.7.</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b/>
                <w:bCs/>
                <w:color w:val="2F2F2F"/>
                <w:sz w:val="18"/>
                <w:szCs w:val="18"/>
                <w:lang w:eastAsia="es-ES"/>
              </w:rPr>
              <w:t>Facilidad para emitir CFDI sin mencionar los datos del pedimento de importación</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lastRenderedPageBreak/>
              <w:t>2.7.1.34.</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Para los efectos del artículo 29-A, fracción VIII del CFF, los contribuyentes que importen o exporten mercancías por medio de tuberías o cables, así como aquéllos que promuevan el despacho de las mercancías mediante pedimentos consolidados en términos de la regla 3.7.33. de las Reglas Generales de Comercio Exterior para 2018, quedarán relevados de señalar en los CFDI que expidan, el número y la fecha del documento aduanero a que hace referencia la fracción</w:t>
            </w:r>
            <w:r w:rsidRPr="00C259DA">
              <w:rPr>
                <w:rFonts w:ascii="Arial" w:eastAsia="Times New Roman" w:hAnsi="Arial" w:cs="Arial"/>
                <w:b/>
                <w:bCs/>
                <w:color w:val="2F2F2F"/>
                <w:sz w:val="18"/>
                <w:szCs w:val="18"/>
                <w:lang w:eastAsia="es-ES"/>
              </w:rPr>
              <w:t> </w:t>
            </w:r>
            <w:r w:rsidRPr="00C259DA">
              <w:rPr>
                <w:rFonts w:ascii="Arial" w:eastAsia="Times New Roman" w:hAnsi="Arial" w:cs="Arial"/>
                <w:color w:val="2F2F2F"/>
                <w:sz w:val="18"/>
                <w:szCs w:val="18"/>
                <w:lang w:eastAsia="es-ES"/>
              </w:rPr>
              <w:t>citada, exclusivamente respecto de tales importaciones o exportaciones.</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eastAsia="es-ES"/>
              </w:rPr>
              <w:t>CFF 29-A, LA 84, Reglas Generales de Comercio Exterior 2018 3.7.33.</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b/>
                <w:bCs/>
                <w:color w:val="2F2F2F"/>
                <w:sz w:val="18"/>
                <w:szCs w:val="18"/>
                <w:lang w:eastAsia="es-ES"/>
              </w:rPr>
              <w:t>Aceptación del receptor para la cancelación del CFDI</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2.7.1.38.</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Para los efectos de los artículos 29-A, cuarto y quinto párrafos del CFF y Sexto, fracción I de las Disposiciones Transitorias del CFF, previsto en el "Decreto por el que se reforman, adicionan y derogan diversas disposiciones de la Ley del Impuesto sobre la Renta, de la Ley del Impuesto al Valor Agregado, del Código Fiscal de la Federación y de la Ley Federal del Impuesto Sobre Automóviles Nuevos" publicado en el DOF el 30 de noviembre de 2016, cuando el emisor de un CFDI requiera cancelarlo, podrá solicitar la cancelación a través delPortal del SAT en Internet.</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El receptor del comprobante fiscal, recibirá un mensaje a través del buzón tributario indicándole que tiene una solicitud de cancelación de un CFDI, por lo que deberá manifestar a través del Portal del SAT, a más tardar dentro de los tres días siguientes contados a partir</w:t>
            </w:r>
          </w:p>
          <w:p w:rsidR="00C259DA" w:rsidRPr="00C259DA" w:rsidRDefault="00C259DA" w:rsidP="00C259DA">
            <w:pPr>
              <w:spacing w:after="101" w:line="240" w:lineRule="auto"/>
              <w:jc w:val="both"/>
              <w:rPr>
                <w:rFonts w:ascii="Arial" w:eastAsia="Times New Roman" w:hAnsi="Arial" w:cs="Arial"/>
                <w:color w:val="2F2F2F"/>
                <w:sz w:val="18"/>
                <w:szCs w:val="18"/>
                <w:lang w:eastAsia="es-ES"/>
              </w:rPr>
            </w:pPr>
            <w:r w:rsidRPr="00C259DA">
              <w:rPr>
                <w:rFonts w:ascii="Arial" w:eastAsia="Times New Roman" w:hAnsi="Arial" w:cs="Arial"/>
                <w:color w:val="2F2F2F"/>
                <w:sz w:val="18"/>
                <w:szCs w:val="18"/>
                <w:lang w:eastAsia="es-ES"/>
              </w:rPr>
              <w:t>de la recepción de la solicitud de cancelación de CFDI, la aceptación o negación de la cancelación del CFDI.</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El SAT considerará que el receptor acepta la cancelación del CFDI si transcurrido el plazo a que se refiere el párrafo anterior, no realiza manifestación alguna.</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El SAT publicará en su portal las características y especificaciones técnicas a través de las cuales los contribuyentes podrán dar trámite a las solicitudes de cancelación solicitadas a través del citado órgano desconcentrado.</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Cuando se cancele un CFDI que tiene relacionados otros CFDI, éstos deben cancelarse previamente. En el supuesto de que se cancele un CFDI aplicando la facilidad prevista en esta regla, pero la operación subsista emitirá un nuevo CFDI que estará relacionado con el cancelado de acuerdo con la guía de llenado de los CFDI que señala el Anexo 20.</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Los contribuyentes también podrán realizar la cancelación del CFDI de forma masiva, observando para ello las características y especificaciones técnicas que para ello se publiquen en el Portal del SAT, debiendo contar para tal efecto con la aceptación del receptor de los comprobantes, de conformidad con lo señalado en el segundo y tercer párrafo de esta regla.</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eastAsia="es-ES"/>
              </w:rPr>
              <w:t>CFF 29-A, Disposiciones Transitorias Sexto</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b/>
                <w:bCs/>
                <w:color w:val="2F2F2F"/>
                <w:sz w:val="18"/>
                <w:szCs w:val="18"/>
                <w:lang w:eastAsia="es-ES"/>
              </w:rPr>
              <w:t>Expedición del CFDI por concepto de nómina por contribuyentes que utilicen "Mis cuentas"</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2.7.5.5.</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Para los efectos del artículo</w:t>
            </w:r>
            <w:r w:rsidRPr="00C259DA">
              <w:rPr>
                <w:rFonts w:ascii="Arial" w:eastAsia="Times New Roman" w:hAnsi="Arial" w:cs="Arial"/>
                <w:b/>
                <w:bCs/>
                <w:color w:val="2F2F2F"/>
                <w:sz w:val="18"/>
                <w:szCs w:val="18"/>
                <w:lang w:eastAsia="es-ES"/>
              </w:rPr>
              <w:t> </w:t>
            </w:r>
            <w:r w:rsidRPr="00C259DA">
              <w:rPr>
                <w:rFonts w:ascii="Arial" w:eastAsia="Times New Roman" w:hAnsi="Arial" w:cs="Arial"/>
                <w:color w:val="2F2F2F"/>
                <w:sz w:val="18"/>
                <w:szCs w:val="18"/>
                <w:lang w:eastAsia="es-ES"/>
              </w:rPr>
              <w:t>29, primer párrafo del CFF, en relación con los artículos 94, fracciones IV, V y VI, 99, fracción III, 111, sexto párrafo y 112, fracciones VI y VII de la Ley del ISR, así como la regla 2.7.1.21., los contribuyentes que utilicen la herramienta electrónica disponible en el Portal del SAT "Mis Cuentas" y que tributen conforme al artículo 74, fracción III y Título IV, Capítulos II y III de la Ley del ISR, así como las Asociaciones Religiosas a que se refiere el Título III del citado ordenamiento, podrán expedir CFDI por lasremuneraciones que cubran a sus trabajadores o a quienes se asimilan a salarios, a través de "Mis Cuentas"apartado "Mi nómina" sección "Recibo de nómina" del Portal del SAT. A dichos comprobantes se les incorporará el sello digital del SAT, así como el complemento de nómina.</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La presente facilidad aplicará cuando los contribuyentes a que se refiere el párrafo anterior se apeguen a las políticas establecidas para el uso de la aplicación que estarán disponibles en "Mis Cuentas" apartado "Mi nómina" sección "Datos del patrón" en el Portal del SAT.</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eastAsia="es-ES"/>
              </w:rPr>
              <w:t>CFF 29, LISR 74, 94, 99, 111, 112, RMF 2018 </w:t>
            </w:r>
            <w:r w:rsidRPr="00C259DA">
              <w:rPr>
                <w:rFonts w:ascii="Arial" w:eastAsia="Times New Roman" w:hAnsi="Arial" w:cs="Arial"/>
                <w:color w:val="2F2F2F"/>
                <w:sz w:val="18"/>
                <w:szCs w:val="18"/>
                <w:lang w:eastAsia="es-ES"/>
              </w:rPr>
              <w:t>2.7.1.21.</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b/>
                <w:bCs/>
                <w:color w:val="2F2F2F"/>
                <w:sz w:val="18"/>
                <w:szCs w:val="18"/>
                <w:lang w:eastAsia="es-ES"/>
              </w:rPr>
              <w:t>Dispensa de garantizar el interés fiscal</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2.14.5.</w:t>
            </w:r>
            <w:r w:rsidRPr="00C259DA">
              <w:rPr>
                <w:rFonts w:ascii="Arial" w:eastAsia="Times New Roman" w:hAnsi="Arial" w:cs="Arial"/>
                <w:color w:val="2F2F2F"/>
                <w:sz w:val="20"/>
                <w:szCs w:val="20"/>
                <w:lang w:eastAsia="es-ES"/>
              </w:rPr>
              <w:t>          .......................................................................................................................</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Cuando los contribuyentes soliciten el pago a plazos en forma diferida y éste les sea autorizado.</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Cuando los contribuyentes realicen pago en parcialidades en términos de la regla 2.14.1., siempre y cuando cumplan en tiempo y montos con todas las parcialidades a que se refiere la citada regla.</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En caso de que el contribuyente no cumpla en tiempo y monto con dos parcialidades la autoridad fiscal exigirá la garantía del interés fiscal y si no se otorga se revocará la autorización del pago a plazos en parcialidades.</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La dispensa de garantizar el interés fiscal a que se refiere la presente regla no aplicará respecto de adeudos que se pretendan cubrir en parcialidades o de forma diferida, que estén relacionados, inmersos o deriven de la comisión de algún delito de carácter fiscal, por el cual se haya presentado la denuncia o querella respectiva.</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eastAsia="es-ES"/>
              </w:rPr>
              <w:t>CFF 66-A, LISR 150, RMF 2018 2.14.1.</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b/>
                <w:bCs/>
                <w:color w:val="2F2F2F"/>
                <w:sz w:val="18"/>
                <w:szCs w:val="18"/>
                <w:lang w:eastAsia="es-ES"/>
              </w:rPr>
              <w:t>De la certificación del órgano</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2.21.7.</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Para los efectos del artículo 32-I del CFF, los órganos certificadores estarán a lo siguiente:</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18"/>
                <w:szCs w:val="18"/>
                <w:lang w:eastAsia="es-ES"/>
              </w:rPr>
              <w:t> </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El resultado de la certificación tendrá una vigencia de un año contado a partir de su emisión.</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eastAsia="es-ES"/>
              </w:rPr>
              <w:t>CFF 32-I, RMF 2018 2.21.6.</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lastRenderedPageBreak/>
              <w:t>                   </w:t>
            </w:r>
            <w:r w:rsidRPr="00C259DA">
              <w:rPr>
                <w:rFonts w:ascii="Arial" w:eastAsia="Times New Roman" w:hAnsi="Arial" w:cs="Arial"/>
                <w:b/>
                <w:bCs/>
                <w:color w:val="2F2F2F"/>
                <w:sz w:val="18"/>
                <w:szCs w:val="18"/>
                <w:lang w:eastAsia="es-ES"/>
              </w:rPr>
              <w:t>Transmisión de activos y pasivos resultantes de una orden proveniente de una autoridad federal</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3.1.20.</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Para efectos del Título II de la Ley del ISR, cuando por motivo de una resolución emitida por una autoridad competente con fundamento en los artículos 28, párrafos décimo quinto y décimo sexto de la Constitución Política de los Estados Unidos Mexicanos, y el Octavo Transitorio, fracciones III y IV, del </w:t>
            </w:r>
            <w:r w:rsidRPr="00C259DA">
              <w:rPr>
                <w:rFonts w:ascii="Arial" w:eastAsia="Times New Roman" w:hAnsi="Arial" w:cs="Arial"/>
                <w:i/>
                <w:iCs/>
                <w:color w:val="2F2F2F"/>
                <w:sz w:val="18"/>
                <w:szCs w:val="18"/>
                <w:lang w:eastAsia="es-ES"/>
              </w:rPr>
              <w:t>"Decreto por el que se reforman y adicionan diversas disposiciones de los artículos 6º., 7º., 27, 28, 73, 78, 94 y 105 de la Constitución Política de los Estados Unidos Mexicanos, en materia de telecomunicaciones"</w:t>
            </w:r>
            <w:r w:rsidRPr="00C259DA">
              <w:rPr>
                <w:rFonts w:ascii="Arial" w:eastAsia="Times New Roman" w:hAnsi="Arial" w:cs="Arial"/>
                <w:color w:val="2F2F2F"/>
                <w:sz w:val="18"/>
                <w:szCs w:val="18"/>
                <w:lang w:eastAsia="es-ES"/>
              </w:rPr>
              <w:t>, publicado en el Diario Oficial de la Federación el 11 de junio de 2013, una persona moral esté obligada a realizar una separación contable, funcional o estructural y, como consecuencia de ello, transmita o enajene parte de sus activos y pasivos a otra persona moral residente en México, los efectos fiscales correspondientes se podrán determinar conforme a lo siguiente:</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Por lo que se refiere a la enajenación de activos en términos del artículo 14, fracción III del CFF y la transmisión de pasivos, el enajenante estará a lo siguiente:</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a)</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La enajenación de activos por motivo de la separación referida podrá realizarse a su valor fiscal. En el caso de activos fijos, gastos y cargos diferidos definidos en el artículo 32 de la Ley del ISR se considerará valor fiscal, el monto original de la inversión pendiente por deducir, debidamenteactualizado, que se tenga a la fecha de la enajenación de conformidad con las disposiciones fiscales.</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b)</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En caso de qué junto con los activos señalados en el inciso anterior, también se transmitan pasivos, estos últimos no generarán un ingreso acumulable para la persona que los transmita. En el caso que el valor contable total de los pasivos sea superior al valor contable total de los activos señalados en el inciso anterior, la diferencia se considerará como ingreso acumulable. En el caso qué al momento de su trasmisión, se realice un ajuste al valor contable de los pasivos, el mismo se considerará como ingreso acumulable para la persona que los trasmita.</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c)</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Las acciones que se emitan por motivo de las enajenaciones y transmisiones referidas en los incisos anteriores no tendrán costo comprobado de adquisición para efectos del artículo 22 de la Ley del ISR y demás disposiciones fiscales.</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d)</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Para efectos del artículo 29, fracción VI de la Ley del ISR, cuando el enajenante transmita a una persona moral, al amparo de esta fracción, bienes o recursos que forman parte de un fondo de pensiones y jubilaciones de personal, complementario a los que establece la Ley del Seguro Social, y de primas de antigüedad, cuyo destino sea otro fondo de pensiones y jubilaciones de personal y de primas de antigüedad a que se refiere dicha disposición, que haya constituido la persona moral que asume obligaciones laborales, no se considerará una disposición de los bienes para fines diversos.</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e)</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Las personas morales que realicen los actos a que se refiere esta fracción deberán de presentar, ante las autoridades fiscales, copia certificada de la resolución que les emita la autoridad competente señalada en este párrafo, de conformidad con la ficha de trámite 275/CFF "Presentación de la copia certificada de la resolución emitida por autoridad competente y dictamen por la transmisión de activos y pasivos derivada de una resolución emitida por autoridad competente", contenida en el Anexo 1-A.</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Por lo que se refiere a los activos enajenados y pasivos transmitidos referidos en esta regla, el adquiriente estará a lo siguiente:</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color w:val="2F2F2F"/>
                <w:sz w:val="18"/>
                <w:szCs w:val="18"/>
                <w:lang w:eastAsia="es-ES"/>
              </w:rPr>
              <w:t> </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a)</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Los activos señalados en el inciso a) de la fracción I de esta regla, se registrarán al valor fiscal que haya servido de base para su enajenación. En el caso de activos fijos, gastos y cargos diferidos definidos en el artículo 32 de la Ley del ISR, el adquiriente continuará realizando su deducción en los mismos términos que lo realizaba el enajenante y considerando los mismos montos deducibles durante cada ejercicio, hasta agotar la parte pendiente por deducir que se tenía previo a la enajenación.</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b)</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Los pasivos señalados en el inciso b) de la fracción I de esta regla, se registrarán al valor contable que haya servido de base para su transmisión.</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c)</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Los activos señalados en la fracción I de esta regla que hayan sido recibidos por el adquiriente, no se considerarán para efectos de la Cuenta de Capital de Aportación a que se refiere el artículo 78 de la Ley del ISR.</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Si por motivo de la enajenación o transmisión de activos y pasivos, se enajenan acciones emitidas por el adquiriente de los activos y pasivos señalados en esta regla, dichas acciones se podrán enajenar a su costo fiscal.</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Si posterior a su transmisión, los pasivos referidos en el párrafo anterior se capitalizan, estos no generarán un costo comprobado de adquisición y no se considerarán para efectos de la Cuenta de Capital de Aportación para efectos de los artículos 22 y 78 de la Ley del ISR y demás disposiciones fiscales.</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Lo dispuesto en esta regla sólo será aplicable siempre que las enajenaciones o transmisiones señaladas en la misma, se efectúen entre personas morales que pertenezcan al mismo grupo de sociedades. Para efectos de esta regla, se entiende por grupo de sociedades al conjunto de sociedades cuyas acciones con derecho a voto, representativas de su capital social, sean propiedad directa o indirecta de las mismas personas en por lo menos 51%.</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Adicionalmente, las personas morales que realicen las operaciones al amparo de la presente regla deberán dictaminarlas por contador público inscrito y presentar los dictámenes respectivos ante las autoridades fiscales.</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El tratamiento de esta regla será aplicable siempre que las operaciones y obligaciones señaladas en la misma, se cumplan dentro de los plazos establecidos en la resolución que emita la autoridad competente señalada en el primer párrafo.</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eastAsia="es-ES"/>
              </w:rPr>
              <w:t>CPEUM 28, CFF 14, LISR 22, 29, 32, 78, DECRETO DOF 11/06/2013, Octavo Transitorio</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b/>
                <w:bCs/>
                <w:color w:val="2F2F2F"/>
                <w:sz w:val="18"/>
                <w:szCs w:val="18"/>
                <w:lang w:eastAsia="es-ES"/>
              </w:rPr>
              <w:t>Personas Morales del Régimen de Propiedad en Condominio</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3.1.21.</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 xml:space="preserve">Para los efectos del artículo 79, fracción XVIII de la Ley del ISR, las personas morales del régimen de propiedad en condominio que se ubican en las entidades federativas en las que sus legislaciones locales les reconocen personalidad </w:t>
            </w:r>
            <w:r w:rsidRPr="00C259DA">
              <w:rPr>
                <w:rFonts w:ascii="Arial" w:eastAsia="Times New Roman" w:hAnsi="Arial" w:cs="Arial"/>
                <w:color w:val="2F2F2F"/>
                <w:sz w:val="18"/>
                <w:szCs w:val="18"/>
                <w:lang w:eastAsia="es-ES"/>
              </w:rPr>
              <w:lastRenderedPageBreak/>
              <w:t>jurídica, podrán tributar conforme al Título III de la Ley del ISR "Del Régimen de las Personas Morales con fines no lucrativos".</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En el caso de aquellas personas morales del régimen de propiedad en condominio que se ubican en las entidades federativas en las que sus legislaciones locales les reconocen personalidad jurídica que ya se encuentran inscritas en el RFC, podrán presentar un caso de aclaración a través del Portal del SAT, observando lo que para tal efecto dispone la regla 2.5.10., para el efecto de que se les reasigne la clave de actividades económicas en el RFC.</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eastAsia="es-ES"/>
              </w:rPr>
              <w:t>LISR 79</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b/>
                <w:bCs/>
                <w:color w:val="2F2F2F"/>
                <w:sz w:val="18"/>
                <w:szCs w:val="18"/>
                <w:lang w:eastAsia="es-ES"/>
              </w:rPr>
              <w:t>Concepto de títulos valor que se colocan entre el gran público inversionista</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3.2.12.</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Para los efectos de la Ley del ISR y su Reglamento, se consideran títulos valor que se colocan entre el gran público inversionista, aquéllos inscritos conforme a los artículos 85 y 90 de la Ley del Mercado de Valores, en el Registro Nacional de Valores a cargo de la Comisión Nacional Bancaria y de Valores; así como los valores listados en el sistema internacional de cotizaciones de la Bolsa Mexicana de Valores o de la Bolsa Institucionalde Valores.</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Adicionalmente, se consideran títulos valor que se colocan entre el gran público inversionista, los valores listados en alguna bolsa de valores constituida en algún Mercado</w:t>
            </w:r>
          </w:p>
          <w:p w:rsidR="00C259DA" w:rsidRPr="00C259DA" w:rsidRDefault="00C259DA" w:rsidP="00C259DA">
            <w:pPr>
              <w:spacing w:after="101" w:line="240" w:lineRule="auto"/>
              <w:jc w:val="both"/>
              <w:rPr>
                <w:rFonts w:ascii="Arial" w:eastAsia="Times New Roman" w:hAnsi="Arial" w:cs="Arial"/>
                <w:color w:val="2F2F2F"/>
                <w:sz w:val="18"/>
                <w:szCs w:val="18"/>
                <w:lang w:eastAsia="es-ES"/>
              </w:rPr>
            </w:pPr>
            <w:r w:rsidRPr="00C259DA">
              <w:rPr>
                <w:rFonts w:ascii="Arial" w:eastAsia="Times New Roman" w:hAnsi="Arial" w:cs="Arial"/>
                <w:color w:val="2F2F2F"/>
                <w:sz w:val="18"/>
                <w:szCs w:val="18"/>
                <w:lang w:eastAsia="es-ES"/>
              </w:rPr>
              <w:t>de valores del exterior reconocido que pertenezca a Estados que formen parte del Mercado Integrado Latinoamericano, con el que la Bolsa Mexicana de Valores o de la Bolsa Institucional de Valores. tengan celebrado un acuerdo de los previstos en el artículo 244, fracción X de la Ley del Mercado de Valores, siempre que cuenten con la autorización prevista por el artículo 252 Bis de dicha Ley. Para los efectos del presente párrafo, se entenderá por Valores y Mercado de valores del exterior reconocido, lo que definan como tales las "Disposiciones de Carácter General aplicables a las Bolsas de Valores", publicadas en el DOF el 30 de mayo de 2014.</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eastAsia="es-ES"/>
              </w:rPr>
              <w:t>LISR 60, 129, LMV 85, 90, 244, 252 Bis</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b/>
                <w:bCs/>
                <w:color w:val="2F2F2F"/>
                <w:sz w:val="18"/>
                <w:szCs w:val="18"/>
                <w:lang w:eastAsia="es-ES"/>
              </w:rPr>
              <w:t>Requisitos para solicitar autorización para emitir monederos electrónicos utilizados en la adquisición de combustibles para vehículos marítimos, aéreos y terrestres</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3.3.1.8.</w:t>
            </w:r>
            <w:r w:rsidRPr="00C259DA">
              <w:rPr>
                <w:rFonts w:ascii="Arial" w:eastAsia="Times New Roman" w:hAnsi="Arial" w:cs="Arial"/>
                <w:color w:val="2F2F2F"/>
                <w:sz w:val="20"/>
                <w:szCs w:val="20"/>
                <w:lang w:eastAsia="es-ES"/>
              </w:rPr>
              <w:t>         .......................................................................................................................</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eastAsia="es-ES"/>
              </w:rPr>
              <w:t>LISR 27, RMF 2018 3.3.1.6.</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b/>
                <w:bCs/>
                <w:color w:val="2F2F2F"/>
                <w:sz w:val="18"/>
                <w:szCs w:val="18"/>
                <w:lang w:eastAsia="es-ES"/>
              </w:rPr>
              <w:t>Vigencia de la autorización del emisor de monederos electrónicos utilizados en la adquisición de combustibles para vehículos marítimos, aéreos y terrestres</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3.3.1.9.</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Para los efectos del artículo 27, fracción III, segundo párrafo, de la Ley del ISR, la autorización como emisor de monederos electrónicos utilizados en la adquisición de combustibles para vehículos marítimos, aéreos y terrestres, tendrá vigencia por el ejercicio fiscal en el que se otorgue.</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En tanto continúen cumpliendo los requisitos y supuestos bajo los cuales se otorgó la autorización, la misma podrá ser renovada por el siguiente ejercicio fiscal siempre que los emisores autorizados presenten en el mes de octubre:</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a.</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El aviso establecido en la ficha de trámite 7/ISR "Aviso de renovación de la autorización y exhibición de la garantía para operar como emisor de monederos electrónicos de combustibles", contenida en el Anexo 1-A</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b.</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Exhiban la garantía vigente por el ejercicio fiscal de que se trate.</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c.</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Cuenten con la certificación anual favorable emitida por un órgano certificador autorizado por el SAT, de acuerdo con el artículo 32-I del CFF.</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Cuando no se dé cumplimiento a lo señalado en el párrafo que antecede, la autorización para emitir monederos electrónicos utilizados en la adquisición de combustibles para vehículos marítimos, aéreos y terrestres se tendrá por no renovada.</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El emisor que no haya renovado su autorización deberá continuar prestando el servicio durante un periodo de transición de noventa días, contados a partir de la fecha y hora en la que para tal efecto señale la AGJ en la resolución correspondiente y deberá cumplir con lo siguiente:</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1.</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Publicar en un lugar visible en su página de Internet un "AVISO URGENTE" con la siguiente leyenda:</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eastAsia="es-ES"/>
              </w:rPr>
              <w:t>"Estimado usuario, se le informa que el día __ de _____ de 201_, vence el periodo de transición de noventa días que nos fue otorgado por el SAT, derivado de la no renovación de la autorización para operar como emisor autorizado de monederos electrónicos utilizados en la adquisición de combustibles para vehículos marítimos, aéreos y terrestres, por lo que se le hace una atenta invitación para contratar a cualquiera de los emisores publicados como autorizados en el Portal del SAT."</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2.</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Informar mediante correo electrónico a todos sus clientes, el mensaje señalado en el numeral anterior, solicitando la confirmación de recepción del mismo.</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3.</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Presentar durante el mes siguiente a aquél en el que dé inicio el periodo de transición, a través del Portal del SAT los archivos que contengan por cada uno de sus clientes, copia del aviso remitido mediante correo electrónico y, de contar con ella, la confirmación de recepción por parte de sus clientes.</w:t>
            </w:r>
          </w:p>
          <w:p w:rsidR="00C259DA" w:rsidRPr="00C259DA" w:rsidRDefault="00C259DA" w:rsidP="00C259DA">
            <w:pPr>
              <w:spacing w:after="72"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4.</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Abstenerse de contratar u ofrecer por cualquier medio la emisión de monederos</w:t>
            </w:r>
          </w:p>
          <w:p w:rsidR="00C259DA" w:rsidRPr="00C259DA" w:rsidRDefault="00C259DA" w:rsidP="00C259DA">
            <w:pPr>
              <w:spacing w:after="72" w:line="240" w:lineRule="auto"/>
              <w:jc w:val="both"/>
              <w:rPr>
                <w:rFonts w:ascii="Arial" w:eastAsia="Times New Roman" w:hAnsi="Arial" w:cs="Arial"/>
                <w:color w:val="2F2F2F"/>
                <w:sz w:val="18"/>
                <w:szCs w:val="18"/>
                <w:lang w:eastAsia="es-ES"/>
              </w:rPr>
            </w:pPr>
            <w:r w:rsidRPr="00C259DA">
              <w:rPr>
                <w:rFonts w:ascii="Arial" w:eastAsia="Times New Roman" w:hAnsi="Arial" w:cs="Arial"/>
                <w:color w:val="2F2F2F"/>
                <w:sz w:val="18"/>
                <w:szCs w:val="18"/>
                <w:lang w:eastAsia="es-ES"/>
              </w:rPr>
              <w:t>electrónicos a nuevos clientes.</w:t>
            </w:r>
          </w:p>
          <w:p w:rsidR="00C259DA" w:rsidRPr="00C259DA" w:rsidRDefault="00C259DA" w:rsidP="00C259DA">
            <w:pPr>
              <w:spacing w:after="72"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5.</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Cumplir con las obligaciones y requisitos de carácter tecnológicos y de seguridad de la información contenidos en el Anexo 28 y con las demás obligaciones que se indiquen en el oficio que para tales efectos notifique la autoridad fiscal.</w:t>
            </w:r>
          </w:p>
          <w:p w:rsidR="00C259DA" w:rsidRPr="00C259DA" w:rsidRDefault="00C259DA" w:rsidP="00C259DA">
            <w:pPr>
              <w:spacing w:after="72"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lastRenderedPageBreak/>
              <w:t>                   </w:t>
            </w:r>
            <w:r w:rsidRPr="00C259DA">
              <w:rPr>
                <w:rFonts w:ascii="Arial" w:eastAsia="Times New Roman" w:hAnsi="Arial" w:cs="Arial"/>
                <w:color w:val="2F2F2F"/>
                <w:sz w:val="18"/>
                <w:szCs w:val="18"/>
                <w:lang w:eastAsia="es-ES"/>
              </w:rPr>
              <w:t>La publicación del aviso a que se refiere el numeral 1, así como el envío del correo señalado en el numeral 2, deberán realizarse a más tardar dentro de los tres días naturales siguientes a aquél en que inicie el periodo de transición.</w:t>
            </w:r>
          </w:p>
          <w:p w:rsidR="00C259DA" w:rsidRPr="00C259DA" w:rsidRDefault="00C259DA" w:rsidP="00C259DA">
            <w:pPr>
              <w:spacing w:after="72"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Aquellos emisores de monederos electrónicos utilizados en la adquisición de combustibles, que hubiesen obtenido la autorización durante los meses de agosto a diciembre del ejercicio de que se trate, mantendrán vigencia por dicho ejercicio y por el inmediato posterior.</w:t>
            </w:r>
          </w:p>
          <w:p w:rsidR="00C259DA" w:rsidRPr="00C259DA" w:rsidRDefault="00C259DA" w:rsidP="00C259DA">
            <w:pPr>
              <w:spacing w:after="72"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El emisor de monederos electrónicos de combustibles que no presente en tiempo y forma el aviso a que se refiere la presente regla, podrá solicitar una nueva autorización en el mes de marzo del siguiente año a aquél en que no presentó el aviso de referencia.</w:t>
            </w:r>
          </w:p>
          <w:p w:rsidR="00C259DA" w:rsidRPr="00C259DA" w:rsidRDefault="00C259DA" w:rsidP="00C259DA">
            <w:pPr>
              <w:spacing w:after="72"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En caso de algún incumplimiento respecto de la autorización otorgada, el SAT podrá ejecutar la citada garantía.</w:t>
            </w:r>
          </w:p>
          <w:p w:rsidR="00C259DA" w:rsidRPr="00C259DA" w:rsidRDefault="00C259DA" w:rsidP="00C259DA">
            <w:pPr>
              <w:spacing w:after="72"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eastAsia="es-ES"/>
              </w:rPr>
              <w:t>CFF 32-I, LISR 27, RMF 2018 3.3.1.8.</w:t>
            </w:r>
          </w:p>
          <w:p w:rsidR="00C259DA" w:rsidRPr="00C259DA" w:rsidRDefault="00C259DA" w:rsidP="00C259DA">
            <w:pPr>
              <w:spacing w:after="72"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b/>
                <w:bCs/>
                <w:color w:val="2F2F2F"/>
                <w:sz w:val="18"/>
                <w:szCs w:val="18"/>
                <w:lang w:eastAsia="es-ES"/>
              </w:rPr>
              <w:t>Obligaciones del emisor autorizado de monederos electrónicos utilizados en la adquisición de combustibles para vehículos marítimos, aéreos y terrestres</w:t>
            </w:r>
          </w:p>
          <w:p w:rsidR="00C259DA" w:rsidRPr="00C259DA" w:rsidRDefault="00C259DA" w:rsidP="00C259DA">
            <w:pPr>
              <w:spacing w:after="72"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3.3.1.10.</w:t>
            </w:r>
            <w:r w:rsidRPr="00C259DA">
              <w:rPr>
                <w:rFonts w:ascii="Arial" w:eastAsia="Times New Roman" w:hAnsi="Arial" w:cs="Arial"/>
                <w:color w:val="2F2F2F"/>
                <w:sz w:val="20"/>
                <w:szCs w:val="20"/>
                <w:lang w:eastAsia="es-ES"/>
              </w:rPr>
              <w:t>       .......................................................................................................................</w:t>
            </w:r>
          </w:p>
          <w:p w:rsidR="00C259DA" w:rsidRPr="00C259DA" w:rsidRDefault="00C259DA" w:rsidP="00C259DA">
            <w:pPr>
              <w:spacing w:after="72"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Mantener a disposición de las autoridades fiscales la información y documentación de las operaciones realizadas con los monederos electrónicos, así como cualquier otra relacionada con la autorización, durante el plazo que establece el artículo 30 del CFF.</w:t>
            </w:r>
          </w:p>
          <w:p w:rsidR="00C259DA" w:rsidRPr="00C259DA" w:rsidRDefault="00C259DA" w:rsidP="00C259DA">
            <w:pPr>
              <w:spacing w:after="72"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Emitir a los contribuyentes adquirentes de combustibles para vehículos marítimos, aéreos y terrestres, un CFDI diario, semanal o mensual, por la adquisición de combustible, así como por el pago por las comisiones y otros cargos que el emisor cobre por sus servicios que contenga el complemento de estado de cuenta de combustibles para monederos electrónicos autorizados por el SAT, en el que seincluya al menos para cada consumo lo siguiente: número de monedero, fecha y hora, cantidad de litros, tipo de combustible, precio unitario y clave en el RFC de la estación de servicios en la que se adquirió el combustible, en términos de la regla 2.7.1.8., así como el complemento de identificación de recurso y minuta de gastos por cuenta de terceros.</w:t>
            </w:r>
          </w:p>
          <w:p w:rsidR="00C259DA" w:rsidRPr="00C259DA" w:rsidRDefault="00C259DA" w:rsidP="00C259DA">
            <w:pPr>
              <w:spacing w:after="72"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p>
          <w:p w:rsidR="00C259DA" w:rsidRPr="00C259DA" w:rsidRDefault="00C259DA" w:rsidP="00C259DA">
            <w:pPr>
              <w:spacing w:after="72"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XIII.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Contar por lo menos con una certificación anual favorable de cumplimiento de requisitos y obligaciones, emitida por un órgano certificador autorizado por el SAT, de conformidad con el artículo 32-I del CFF.</w:t>
            </w:r>
          </w:p>
          <w:p w:rsidR="00C259DA" w:rsidRPr="00C259DA" w:rsidRDefault="00C259DA" w:rsidP="00C259DA">
            <w:pPr>
              <w:spacing w:after="72" w:line="240" w:lineRule="auto"/>
              <w:ind w:hanging="1152"/>
              <w:jc w:val="both"/>
              <w:rPr>
                <w:rFonts w:ascii="Arial" w:eastAsia="Times New Roman" w:hAnsi="Arial" w:cs="Arial"/>
                <w:color w:val="2F2F2F"/>
                <w:sz w:val="18"/>
                <w:szCs w:val="18"/>
                <w:lang w:val="en-US"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val="en-US" w:eastAsia="es-ES"/>
              </w:rPr>
              <w:t>CFF 28, 29, 29-A, 30, 32-I, LISR 27, RMF 2018 2.7.1.8., 3.3.1.7., 3.3.1.8., 3.3.1.9., 3.3.1.13.</w:t>
            </w:r>
          </w:p>
          <w:p w:rsidR="00C259DA" w:rsidRPr="00C259DA" w:rsidRDefault="00C259DA" w:rsidP="00C259DA">
            <w:pPr>
              <w:spacing w:after="72"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val="en-US" w:eastAsia="es-ES"/>
              </w:rPr>
              <w:t>                   </w:t>
            </w:r>
            <w:r w:rsidRPr="00C259DA">
              <w:rPr>
                <w:rFonts w:ascii="Arial" w:eastAsia="Times New Roman" w:hAnsi="Arial" w:cs="Arial"/>
                <w:b/>
                <w:bCs/>
                <w:color w:val="2F2F2F"/>
                <w:sz w:val="18"/>
                <w:szCs w:val="18"/>
                <w:lang w:eastAsia="es-ES"/>
              </w:rPr>
              <w:t>Causas de revocación de la autorización para emitir monederos electrónicos utilizados en la adquisición de combustibles para vehículos marítimos, aéreos y terrestres</w:t>
            </w:r>
          </w:p>
          <w:p w:rsidR="00C259DA" w:rsidRPr="00C259DA" w:rsidRDefault="00C259DA" w:rsidP="00C259DA">
            <w:pPr>
              <w:spacing w:after="72"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3.3.1.12.</w:t>
            </w:r>
            <w:r w:rsidRPr="00C259DA">
              <w:rPr>
                <w:rFonts w:ascii="Arial" w:eastAsia="Times New Roman" w:hAnsi="Arial" w:cs="Arial"/>
                <w:color w:val="2F2F2F"/>
                <w:sz w:val="20"/>
                <w:szCs w:val="20"/>
                <w:lang w:eastAsia="es-ES"/>
              </w:rPr>
              <w:t>       .......................................................................................................................</w:t>
            </w:r>
          </w:p>
          <w:p w:rsidR="00C259DA" w:rsidRPr="00C259DA" w:rsidRDefault="00C259DA" w:rsidP="00C259DA">
            <w:pPr>
              <w:spacing w:after="72"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IV.</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Cuando el emisor autorizado no facilite, impida, obstaculice o se oponga a que la autoridad fiscal o el tercero habilitado por ésta lleve a cabo la verificación y supervisión del cumplimiento de cualquiera de los requisitos y obligaciones que debe cumplir como emisor autorizado, o bien, proporcione información falsa relacionada con los mismos, incluso si aquélla es proporcionada por cualquiera de las personas relacionadas con la autorización.</w:t>
            </w:r>
          </w:p>
          <w:p w:rsidR="00C259DA" w:rsidRPr="00C259DA" w:rsidRDefault="00C259DA" w:rsidP="00C259DA">
            <w:pPr>
              <w:spacing w:after="72"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p>
          <w:p w:rsidR="00C259DA" w:rsidRPr="00C259DA" w:rsidRDefault="00C259DA" w:rsidP="00C259DA">
            <w:pPr>
              <w:spacing w:after="72"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XIII.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No haber obtenido por lo menos una certificación anual favorable de cumplimiento de requisitos y obligaciones, emitida por un órgano certificador autorizado por el SAT, de conformidad con el artículo 32-I del CFF.</w:t>
            </w:r>
          </w:p>
          <w:p w:rsidR="00C259DA" w:rsidRPr="00C259DA" w:rsidRDefault="00C259DA" w:rsidP="00C259DA">
            <w:pPr>
              <w:spacing w:after="101" w:line="240" w:lineRule="auto"/>
              <w:ind w:hanging="1152"/>
              <w:jc w:val="both"/>
              <w:rPr>
                <w:rFonts w:ascii="Arial" w:eastAsia="Times New Roman" w:hAnsi="Arial" w:cs="Arial"/>
                <w:color w:val="2F2F2F"/>
                <w:sz w:val="18"/>
                <w:szCs w:val="18"/>
                <w:lang w:val="en-US"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20"/>
                <w:szCs w:val="20"/>
                <w:lang w:val="en-US" w:eastAsia="es-ES"/>
              </w:rPr>
              <w:t>.......................................................................................................................</w:t>
            </w:r>
          </w:p>
          <w:p w:rsidR="00C259DA" w:rsidRPr="00C259DA" w:rsidRDefault="00C259DA" w:rsidP="00C259DA">
            <w:pPr>
              <w:spacing w:after="101" w:line="240" w:lineRule="auto"/>
              <w:ind w:hanging="1152"/>
              <w:jc w:val="both"/>
              <w:rPr>
                <w:rFonts w:ascii="Arial" w:eastAsia="Times New Roman" w:hAnsi="Arial" w:cs="Arial"/>
                <w:color w:val="2F2F2F"/>
                <w:sz w:val="18"/>
                <w:szCs w:val="18"/>
                <w:lang w:val="en-US" w:eastAsia="es-ES"/>
              </w:rPr>
            </w:pPr>
            <w:r w:rsidRPr="00C259DA">
              <w:rPr>
                <w:rFonts w:ascii="Arial" w:eastAsia="Times New Roman" w:hAnsi="Arial" w:cs="Arial"/>
                <w:color w:val="2F2F2F"/>
                <w:sz w:val="20"/>
                <w:szCs w:val="20"/>
                <w:lang w:val="en-US" w:eastAsia="es-ES"/>
              </w:rPr>
              <w:t>                   </w:t>
            </w:r>
            <w:r w:rsidRPr="00C259DA">
              <w:rPr>
                <w:rFonts w:ascii="Arial" w:eastAsia="Times New Roman" w:hAnsi="Arial" w:cs="Arial"/>
                <w:i/>
                <w:iCs/>
                <w:color w:val="2F2F2F"/>
                <w:sz w:val="18"/>
                <w:szCs w:val="18"/>
                <w:lang w:val="en-US" w:eastAsia="es-ES"/>
              </w:rPr>
              <w:t>CFF 32-I, 69-B, LISR 27, RMF 2018 3.3.1.8., 3.3.1.9., 3.3.1.10., 3.3.1.11., 3.3.1.39.</w:t>
            </w:r>
          </w:p>
          <w:p w:rsidR="00C259DA" w:rsidRPr="00C259DA" w:rsidRDefault="00C259DA" w:rsidP="00C259DA">
            <w:pPr>
              <w:spacing w:after="96" w:line="240" w:lineRule="auto"/>
              <w:ind w:hanging="1152"/>
              <w:jc w:val="both"/>
              <w:rPr>
                <w:rFonts w:ascii="Arial" w:eastAsia="Times New Roman" w:hAnsi="Arial" w:cs="Arial"/>
                <w:color w:val="2F2F2F"/>
                <w:sz w:val="18"/>
                <w:szCs w:val="18"/>
                <w:lang w:val="en-US" w:eastAsia="es-ES"/>
              </w:rPr>
            </w:pPr>
            <w:r w:rsidRPr="00C259DA">
              <w:rPr>
                <w:rFonts w:ascii="Arial" w:eastAsia="Times New Roman" w:hAnsi="Arial" w:cs="Arial"/>
                <w:color w:val="2F2F2F"/>
                <w:sz w:val="18"/>
                <w:szCs w:val="18"/>
                <w:lang w:val="en-US" w:eastAsia="es-ES"/>
              </w:rPr>
              <w:t> </w:t>
            </w:r>
          </w:p>
          <w:p w:rsidR="00C259DA" w:rsidRPr="00C259DA" w:rsidRDefault="00C259DA" w:rsidP="00C259DA">
            <w:pPr>
              <w:spacing w:after="96"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val="en-US" w:eastAsia="es-ES"/>
              </w:rPr>
              <w:t>                   </w:t>
            </w:r>
            <w:r w:rsidRPr="00C259DA">
              <w:rPr>
                <w:rFonts w:ascii="Arial" w:eastAsia="Times New Roman" w:hAnsi="Arial" w:cs="Arial"/>
                <w:b/>
                <w:bCs/>
                <w:color w:val="2F2F2F"/>
                <w:sz w:val="18"/>
                <w:szCs w:val="18"/>
                <w:lang w:eastAsia="es-ES"/>
              </w:rPr>
              <w:t>Requisitos para solicitar autorización para emitir monederos electrónicos de vales de despensa</w:t>
            </w:r>
          </w:p>
          <w:p w:rsidR="00C259DA" w:rsidRPr="00C259DA" w:rsidRDefault="00C259DA" w:rsidP="00C259DA">
            <w:pPr>
              <w:spacing w:after="96"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3.3.1.17.</w:t>
            </w:r>
            <w:r w:rsidRPr="00C259DA">
              <w:rPr>
                <w:rFonts w:ascii="Arial" w:eastAsia="Times New Roman" w:hAnsi="Arial" w:cs="Arial"/>
                <w:color w:val="2F2F2F"/>
                <w:sz w:val="20"/>
                <w:szCs w:val="20"/>
                <w:lang w:eastAsia="es-ES"/>
              </w:rPr>
              <w:t>       .......................................................................................................................</w:t>
            </w:r>
          </w:p>
          <w:p w:rsidR="00C259DA" w:rsidRPr="00C259DA" w:rsidRDefault="00C259DA" w:rsidP="00C259DA">
            <w:pPr>
              <w:spacing w:after="96"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Se consideran modalidades cualquier cambio adicional de imagen que se realice al prototipo de monedero autorizado, tales como cambio de color, de diseño, inserción de logotipos, inserción de nombres adicionales al comercial entre otros.</w:t>
            </w:r>
          </w:p>
          <w:p w:rsidR="00C259DA" w:rsidRPr="00C259DA" w:rsidRDefault="00C259DA" w:rsidP="00C259DA">
            <w:pPr>
              <w:spacing w:after="96"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p>
          <w:p w:rsidR="00C259DA" w:rsidRPr="00C259DA" w:rsidRDefault="00C259DA" w:rsidP="00C259DA">
            <w:pPr>
              <w:spacing w:after="96"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eastAsia="es-ES"/>
              </w:rPr>
              <w:t>LISR 27, RMF 2018 3.3.1.16.</w:t>
            </w:r>
          </w:p>
          <w:p w:rsidR="00C259DA" w:rsidRPr="00C259DA" w:rsidRDefault="00C259DA" w:rsidP="00C259DA">
            <w:pPr>
              <w:spacing w:after="96"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b/>
                <w:bCs/>
                <w:color w:val="2F2F2F"/>
                <w:sz w:val="18"/>
                <w:szCs w:val="18"/>
                <w:lang w:eastAsia="es-ES"/>
              </w:rPr>
              <w:t>Vigencia de la autorización del emisor de monederos electrónicos de vales de despensa</w:t>
            </w:r>
          </w:p>
          <w:p w:rsidR="00C259DA" w:rsidRPr="00C259DA" w:rsidRDefault="00C259DA" w:rsidP="00C259DA">
            <w:pPr>
              <w:spacing w:after="96"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3.3.1.18.</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Para los efectos del artículo 27, fracción XI, primer párrafo de la Ley del ISR, la autorización como emisor de monederos electrónicos de vales de despensa, tendrá vigencia por el ejercicio fiscal en el que se otorgue.</w:t>
            </w:r>
          </w:p>
          <w:p w:rsidR="00C259DA" w:rsidRPr="00C259DA" w:rsidRDefault="00C259DA" w:rsidP="00C259DA">
            <w:pPr>
              <w:spacing w:after="96"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En tanto continúen cumpliendo los requisitos y supuestos bajo los cuales se otorgó la autorización, la misma podrá ser renovada por el siguiente ejercicio fiscal, siempre que los emisores autorizados presenten en el mes de octubre:</w:t>
            </w:r>
          </w:p>
          <w:p w:rsidR="00C259DA" w:rsidRPr="00C259DA" w:rsidRDefault="00C259DA" w:rsidP="00C259DA">
            <w:pPr>
              <w:spacing w:after="96"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a.</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El aviso establecido en la ficha de trámite 11/ISR "Aviso de renovación de la autorización y exhibición de la garantía para operar como emisor de monederos electrónicos de vales de despensa", contenida en el Anexo 1-A.</w:t>
            </w:r>
          </w:p>
          <w:p w:rsidR="00C259DA" w:rsidRPr="00C259DA" w:rsidRDefault="00C259DA" w:rsidP="00C259DA">
            <w:pPr>
              <w:spacing w:after="96"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b.</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Exhiban la garantía vigente por el ejercicio fiscal de que se trate.</w:t>
            </w:r>
          </w:p>
          <w:p w:rsidR="00C259DA" w:rsidRPr="00C259DA" w:rsidRDefault="00C259DA" w:rsidP="00C259DA">
            <w:pPr>
              <w:spacing w:after="96"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c.</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Cuenten con la certificación anual favorable emitida por un órgano certificador autorizado por el SAT de acuerdo al artículo 32-I del CFF.</w:t>
            </w:r>
          </w:p>
          <w:p w:rsidR="00C259DA" w:rsidRPr="00C259DA" w:rsidRDefault="00C259DA" w:rsidP="00C259DA">
            <w:pPr>
              <w:spacing w:after="96"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 xml:space="preserve">Cuando no se dé cumplimiento a lo señalado en el párrafo que antecede, la autorización para emitir monederos electrónicos </w:t>
            </w:r>
            <w:r w:rsidRPr="00C259DA">
              <w:rPr>
                <w:rFonts w:ascii="Arial" w:eastAsia="Times New Roman" w:hAnsi="Arial" w:cs="Arial"/>
                <w:color w:val="2F2F2F"/>
                <w:sz w:val="18"/>
                <w:szCs w:val="18"/>
                <w:lang w:eastAsia="es-ES"/>
              </w:rPr>
              <w:lastRenderedPageBreak/>
              <w:t>de vales de despensa se tendrá por no renovada.</w:t>
            </w:r>
          </w:p>
          <w:p w:rsidR="00C259DA" w:rsidRPr="00C259DA" w:rsidRDefault="00C259DA" w:rsidP="00C259DA">
            <w:pPr>
              <w:spacing w:after="96"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El emisor que no haya renovado su autorización deberá continuar prestando el servicio durante un periodo de transición de noventa días, contados a partir de la fecha y hora que para tal efecto señale la AGJ en la resolución correspondiente y deberá cumplir con lo siguiente:</w:t>
            </w:r>
          </w:p>
          <w:p w:rsidR="00C259DA" w:rsidRPr="00C259DA" w:rsidRDefault="00C259DA" w:rsidP="00C259DA">
            <w:pPr>
              <w:spacing w:after="96"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1.</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Publicar en un lugar visible en su página de Internet un "AVISO URGENTE" con la siguiente leyenda:</w:t>
            </w:r>
          </w:p>
          <w:p w:rsidR="00C259DA" w:rsidRPr="00C259DA" w:rsidRDefault="00C259DA" w:rsidP="00C259DA">
            <w:pPr>
              <w:spacing w:after="96"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eastAsia="es-ES"/>
              </w:rPr>
              <w:t>"Estimado usuario, se le informa que el día __ de _____ de 201_, vence el periodo de transición de noventa días que nos fue otorgado por el SAT, derivado de la no renovación de la autorización otorgada por el SAT para operar como emisor autorizado de monederos electrónicos de vales de despensa, por lo que se le hace una atenta invitación para contratar a cualquiera de los emisores publicados como autorizados en el Portal del SAT."</w:t>
            </w:r>
          </w:p>
          <w:p w:rsidR="00C259DA" w:rsidRPr="00C259DA" w:rsidRDefault="00C259DA" w:rsidP="00C259DA">
            <w:pPr>
              <w:spacing w:after="96"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2.</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Informar mediante correo electrónico a todos sus clientes, el mensaje señalado en el numeral anterior, solicitando la confirmación de recepción del mismo.</w:t>
            </w:r>
          </w:p>
          <w:p w:rsidR="00C259DA" w:rsidRPr="00C259DA" w:rsidRDefault="00C259DA" w:rsidP="00C259DA">
            <w:pPr>
              <w:spacing w:after="96"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3.</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Presentar durante el mes siguiente a aquél en el que dé inicio el periodo de transición, a través del Portal del SAT los archivos que contengan por cada uno de sus clientes, copia del aviso remitido mediante correo electrónico y, de contar con ella, la confirmación de recepción por parte de sus clientes.</w:t>
            </w:r>
          </w:p>
          <w:p w:rsidR="00C259DA" w:rsidRPr="00C259DA" w:rsidRDefault="00C259DA" w:rsidP="00C259DA">
            <w:pPr>
              <w:spacing w:after="96"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4.</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Abstenerse de contratar u ofrecer por cualquier medio la emisión de monederos electrónicos a nuevos clientes.</w:t>
            </w:r>
          </w:p>
          <w:p w:rsidR="00C259DA" w:rsidRPr="00C259DA" w:rsidRDefault="00C259DA" w:rsidP="00C259DA">
            <w:pPr>
              <w:spacing w:after="96"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5.</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Cumplir con las obligaciones y requisitos de carácter tecnológico y de seguridad de la información contenidos en el Anexo 28 y con las obligaciones que se indiquen en el oficio que para tales efectos notifique la autoridad fiscal.</w:t>
            </w:r>
          </w:p>
          <w:p w:rsidR="00C259DA" w:rsidRPr="00C259DA" w:rsidRDefault="00C259DA" w:rsidP="00C259DA">
            <w:pPr>
              <w:spacing w:after="96"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La publicación del aviso a que se refiere el numeral 1, así como el envío del correo señalado en el numeral 2, deberán realizarse a más tardar dentro de los tres días naturales siguientes a aquél en que inicie el periodo de transición.</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Aquellos emisores de monederos electrónicos de vales de despensa, que hubiesen obtenido la autorización durante los meses de agosto a diciembre del ejercicio de que se trate, mantendrán vigencia por dicho ejercicio y por el inmediato posterior.</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18"/>
                <w:szCs w:val="18"/>
                <w:lang w:eastAsia="es-ES"/>
              </w:rPr>
              <w:t> </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El emisor de monederos electrónicos de vales de despensa que no presente en tiempo y forma el aviso a que se refiere la presente regla, podrá solicitar una nueva autorización en el mes de marzo del año siguiente a aquél en que no presentó el aviso de referencia.</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En caso de algún incumplimiento respecto de la autorización otorgada, el SAT podrá ejecutar la citada garantía.</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eastAsia="es-ES"/>
              </w:rPr>
              <w:t>CFF 32-I, LISR 27, RMF 2018 3.3.1.17.</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b/>
                <w:bCs/>
                <w:color w:val="2F2F2F"/>
                <w:sz w:val="18"/>
                <w:szCs w:val="18"/>
                <w:lang w:eastAsia="es-ES"/>
              </w:rPr>
              <w:t>Obligaciones del emisor de monederos electrónicos de vales de despensa</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3.3.1.19.</w:t>
            </w:r>
            <w:r w:rsidRPr="00C259DA">
              <w:rPr>
                <w:rFonts w:ascii="Arial" w:eastAsia="Times New Roman" w:hAnsi="Arial" w:cs="Arial"/>
                <w:color w:val="2F2F2F"/>
                <w:sz w:val="20"/>
                <w:szCs w:val="20"/>
                <w:lang w:eastAsia="es-ES"/>
              </w:rPr>
              <w:t>       .......................................................................................................................</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IV.</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Emitir a los patrones contratantes de los monederos electrónicos de vales de despensa CFDI por las comisiones y otros cargos que les cobran, que contenga un complemento de vales de despensa en el que se incluya, al menos, el nombre y clave en el RFC del trabajador titular de cada monedero electrónico de vale de despensa, así como los fondos y saldos de cada cuenta, en términos de la regla2.7.1.8., así como el complemento de identificación de recurso y minuta de gastos por cuenta de terceros.</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V.</w:t>
            </w:r>
            <w:r w:rsidRPr="00C259DA">
              <w:rPr>
                <w:rFonts w:ascii="Arial" w:eastAsia="Times New Roman" w:hAnsi="Arial" w:cs="Arial"/>
                <w:color w:val="2F2F2F"/>
                <w:sz w:val="20"/>
                <w:szCs w:val="20"/>
                <w:lang w:eastAsia="es-ES"/>
              </w:rPr>
              <w:t>         ............................................................................................................</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El emisor autorizado de monederos electrónicos de vales de despensa, podrá dar cumplimiento a la obligación en cita, a través de un agregador, para tal efecto, deberá contar con el contrato celebrado con el agregador y con los contratos celebrados entre el agregador y cada uno de los comercios afiliados por éste.</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Para efectos de esta Resolución se entenderá por agregador, al participante en Redes que, al amparo de un contrato de prestación de servicios celebrado con un Adquirente ofrece a Receptores de Pagos el servicio de aceptación de Pagos con Tarjetas y, en su caso, provee la infraestructura de Terminales Puntos de Venta conectadas a dichas redes.</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XII.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Contar por lo menos con una certificación anual favorable de cumplimiento de requisitos y obligaciones, emitida por un órgano certificador autorizado por el SAT, de acuerdo al artículo 32-I del CFF.</w:t>
            </w:r>
          </w:p>
          <w:p w:rsidR="00C259DA" w:rsidRPr="00C259DA" w:rsidRDefault="00C259DA" w:rsidP="00C259DA">
            <w:pPr>
              <w:spacing w:after="101" w:line="240" w:lineRule="auto"/>
              <w:ind w:hanging="1152"/>
              <w:jc w:val="both"/>
              <w:rPr>
                <w:rFonts w:ascii="Arial" w:eastAsia="Times New Roman" w:hAnsi="Arial" w:cs="Arial"/>
                <w:color w:val="2F2F2F"/>
                <w:sz w:val="18"/>
                <w:szCs w:val="18"/>
                <w:lang w:val="en-US"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val="en-US" w:eastAsia="es-ES"/>
              </w:rPr>
              <w:t>CFF 29, 29-A, 30, 32-I, LISR 27, RMF 2018 2.7.1.8., 3.3.1.17., 3.3.1.22.</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val="en-US" w:eastAsia="es-ES"/>
              </w:rPr>
              <w:t>                   </w:t>
            </w:r>
            <w:r w:rsidRPr="00C259DA">
              <w:rPr>
                <w:rFonts w:ascii="Arial" w:eastAsia="Times New Roman" w:hAnsi="Arial" w:cs="Arial"/>
                <w:b/>
                <w:bCs/>
                <w:color w:val="2F2F2F"/>
                <w:sz w:val="18"/>
                <w:szCs w:val="18"/>
                <w:lang w:eastAsia="es-ES"/>
              </w:rPr>
              <w:t>Causas de revocación de la autorización para emitir monederos electrónicos de vales de despensa</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3.3.1.21.</w:t>
            </w:r>
            <w:r w:rsidRPr="00C259DA">
              <w:rPr>
                <w:rFonts w:ascii="Arial" w:eastAsia="Times New Roman" w:hAnsi="Arial" w:cs="Arial"/>
                <w:color w:val="2F2F2F"/>
                <w:sz w:val="20"/>
                <w:szCs w:val="20"/>
                <w:lang w:eastAsia="es-ES"/>
              </w:rPr>
              <w:t>       .......................................................................................................................</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XIII.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No haber obtenido por lo menos una certificación anual favorable de cumplimiento de requisitos y obligaciones, emitida por un órgano certificador autorizado por el SAT, de conformidad con el artículo 32-I del CFF.</w:t>
            </w:r>
          </w:p>
          <w:p w:rsidR="00C259DA" w:rsidRPr="00C259DA" w:rsidRDefault="00C259DA" w:rsidP="00C259DA">
            <w:pPr>
              <w:spacing w:after="101" w:line="240" w:lineRule="auto"/>
              <w:ind w:hanging="1152"/>
              <w:jc w:val="both"/>
              <w:rPr>
                <w:rFonts w:ascii="Arial" w:eastAsia="Times New Roman" w:hAnsi="Arial" w:cs="Arial"/>
                <w:color w:val="2F2F2F"/>
                <w:sz w:val="18"/>
                <w:szCs w:val="18"/>
                <w:lang w:val="en-US"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20"/>
                <w:szCs w:val="20"/>
                <w:lang w:val="en-US" w:eastAsia="es-ES"/>
              </w:rPr>
              <w:t>.......................................................................................................................</w:t>
            </w:r>
          </w:p>
          <w:p w:rsidR="00C259DA" w:rsidRPr="00C259DA" w:rsidRDefault="00C259DA" w:rsidP="00C259DA">
            <w:pPr>
              <w:spacing w:after="101" w:line="240" w:lineRule="auto"/>
              <w:ind w:hanging="1152"/>
              <w:jc w:val="both"/>
              <w:rPr>
                <w:rFonts w:ascii="Arial" w:eastAsia="Times New Roman" w:hAnsi="Arial" w:cs="Arial"/>
                <w:color w:val="2F2F2F"/>
                <w:sz w:val="18"/>
                <w:szCs w:val="18"/>
                <w:lang w:val="en-US" w:eastAsia="es-ES"/>
              </w:rPr>
            </w:pPr>
            <w:r w:rsidRPr="00C259DA">
              <w:rPr>
                <w:rFonts w:ascii="Arial" w:eastAsia="Times New Roman" w:hAnsi="Arial" w:cs="Arial"/>
                <w:color w:val="2F2F2F"/>
                <w:sz w:val="20"/>
                <w:szCs w:val="20"/>
                <w:lang w:val="en-US" w:eastAsia="es-ES"/>
              </w:rPr>
              <w:t>                   </w:t>
            </w:r>
            <w:r w:rsidRPr="00C259DA">
              <w:rPr>
                <w:rFonts w:ascii="Arial" w:eastAsia="Times New Roman" w:hAnsi="Arial" w:cs="Arial"/>
                <w:i/>
                <w:iCs/>
                <w:color w:val="2F2F2F"/>
                <w:sz w:val="18"/>
                <w:szCs w:val="18"/>
                <w:lang w:val="en-US" w:eastAsia="es-ES"/>
              </w:rPr>
              <w:t>CFF 32-I, 69-B, LISR 27, RMF 2018 3.3.1.16., 3.3.1.17., 3.3.1.19., 3.3.1.20.</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val="en-US" w:eastAsia="es-ES"/>
              </w:rPr>
              <w:t>                   </w:t>
            </w:r>
            <w:r w:rsidRPr="00C259DA">
              <w:rPr>
                <w:rFonts w:ascii="Arial" w:eastAsia="Times New Roman" w:hAnsi="Arial" w:cs="Arial"/>
                <w:b/>
                <w:bCs/>
                <w:color w:val="2F2F2F"/>
                <w:sz w:val="18"/>
                <w:szCs w:val="18"/>
                <w:lang w:eastAsia="es-ES"/>
              </w:rPr>
              <w:t>Procedimiento para dejar sin efectos la autorización para emitir monederos electrónicos de vales de despensa</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3.3.1.47.</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 xml:space="preserve">Los contribuyentes que hayan obtenido la autorización para operar como emisores de monederos electrónicos de vales de </w:t>
            </w:r>
            <w:r w:rsidRPr="00C259DA">
              <w:rPr>
                <w:rFonts w:ascii="Arial" w:eastAsia="Times New Roman" w:hAnsi="Arial" w:cs="Arial"/>
                <w:color w:val="2F2F2F"/>
                <w:sz w:val="18"/>
                <w:szCs w:val="18"/>
                <w:lang w:eastAsia="es-ES"/>
              </w:rPr>
              <w:lastRenderedPageBreak/>
              <w:t>despensa que deseen que dicha autorización quede sin efectos por así convenir a sus intereses, deberán presentar un aviso conforme a la ficha de trámite 122/ISR "Aviso para dejar sin efectos la autorización para emitir monederos electrónicos de vales de despensa", contenida en el Anexo 1-A, en el que soliciten dejar sin efectos dicha autorización e indiquen la fecha y hora en la que dejarán de operar.</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18"/>
                <w:szCs w:val="18"/>
                <w:lang w:eastAsia="es-ES"/>
              </w:rPr>
              <w:t> </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La AGJ valorará la procedencia del aviso y en caso de estimarlo pertinente solicitará la opinión de carácter tecnológico de la AGCTI y posteriormente emitirá respuesta al solicitante.</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En el supuesto que la valoración sea en el sentido de dejar sin efectos la autorización, el emisor autorizado deberá continuar prestando el servicio de emisión de monederos electrónicos durante un periodo de transición de noventa días, contados a partir de la fecha y hora manifestada en dicho aviso, debiendo cumplir con lo siguiente:</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1.</w:t>
            </w:r>
            <w:r w:rsidRPr="00C259DA">
              <w:rPr>
                <w:rFonts w:ascii="Arial" w:eastAsia="Times New Roman" w:hAnsi="Arial" w:cs="Arial"/>
                <w:color w:val="2F2F2F"/>
                <w:sz w:val="20"/>
                <w:szCs w:val="20"/>
                <w:lang w:eastAsia="es-ES"/>
              </w:rPr>
              <w:t>         ............................................................................................................</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eastAsia="es-ES"/>
              </w:rPr>
              <w:t>"Estimado usuario, se le informa que el día __ de _____ de 201_, vence el periodo de transición de noventa días que nos fue otorgado por el SAT, derivado de que dejará de surtir efectos la autorización otorgada por el SAT para operar como emisor autorizado de monederos electrónicos de vales de despensa, por lo que se le hace una atenta invitación para contratar a cualquiera de los emisorespublicados como autorizados en el Portal del SAT."</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4.</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Abstenerse de contratar u ofrecer por cualquier medio la emisión de monederos electrónicos a nuevos clientes.</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eastAsia="es-ES"/>
              </w:rPr>
              <w:t>RMF 2018 3.3.1.17.</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b/>
                <w:bCs/>
                <w:color w:val="2F2F2F"/>
                <w:sz w:val="18"/>
                <w:szCs w:val="18"/>
                <w:lang w:eastAsia="es-ES"/>
              </w:rPr>
              <w:t>Procedimiento para dejar sin efectos la autorización para emitir monederos electrónicos utilizados en la adquisición de combustibles para vehículos marítimos, aéreos y terrestres</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3.3.1.48.</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Los contribuyentes que hayan obtenido la autorización para operar como emisores de monederos electrónicos utilizados en la adquisición de combustibles para vehículos marítimos, aéreos y terrestres que deseen que dicha autorización quede sin efectos por así convenir a sus intereses, deberán presentar un aviso conforme a la ficha de trámite 120/ISR "Aviso para dejar sin efectos la autorización para emitir monederos electrónicos utilizados enla adquisición de combustibles para vehículos marítimos, aéreos y terrestres", contenida en el Anexo 1-A, en el que soliciten dejar sin efectos dicha autorización e indiquen la fecha y hora en la que dejarán de operar.</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La AGJ valorará la procedencia del aviso y en caso de estimarlo pertinente solicitará la opinión de carácter tecnológico de la AGCTI y posteriormente, emitirá respuesta al solicitante.</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En el supuesto de que la valoración sea en el sentido de dejar sin efectos la autorización, el emisor autorizado deberá continuar prestando el servicio durante un periodo de transición de noventa días, contados a partir de la fecha y hora manifestada en dicho aviso, debiendo cumplir con lo siguiente:</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1.</w:t>
            </w:r>
            <w:r w:rsidRPr="00C259DA">
              <w:rPr>
                <w:rFonts w:ascii="Arial" w:eastAsia="Times New Roman" w:hAnsi="Arial" w:cs="Arial"/>
                <w:color w:val="2F2F2F"/>
                <w:sz w:val="20"/>
                <w:szCs w:val="20"/>
                <w:lang w:eastAsia="es-ES"/>
              </w:rPr>
              <w:t>         ............................................................................................................</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eastAsia="es-ES"/>
              </w:rPr>
              <w:t>"Estimado usuario, se le informa que el día __ de _____ de 201_, vence el periodo de transición de noventa días que nos fue otorgado por el SAT, derivado de que dejará de surtir efectos la autorización otorgada por el SAT para operar como emisor autorizado de monederos electrónicos utilizados en la adquisición de combustibles para vehículos marítimos, aéreos y terrestres, por lo que se le hace una atenta invitación para contratar a cualquiera de los emisores publicados como autorizados en el Portal del SAT."</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4.</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Abstenerse de contratar u ofrecer por cualquier medio la emisión de monederos electrónicos a nuevos clientes.</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eastAsia="es-ES"/>
              </w:rPr>
              <w:t>RMF 2018 3.3.1.8.</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18"/>
                <w:szCs w:val="18"/>
                <w:lang w:eastAsia="es-ES"/>
              </w:rPr>
              <w:t> </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b/>
                <w:bCs/>
                <w:color w:val="2F2F2F"/>
                <w:sz w:val="18"/>
                <w:szCs w:val="18"/>
                <w:lang w:eastAsia="es-ES"/>
              </w:rPr>
              <w:t>Procedimiento por el cual el contratante realiza la consulta de la información autorizada por el contratista por actividades de subcontratación laboral</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3.3.1.50.</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Para efectos de los artículos 27, fracción V, último párrafo de la Ley del ISR, 5, fracción II y 32, fracción VIII de la Ley del IVA y de la regla 3.3.1.44., se realizará el siguiente procedimiento:</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A.</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El contratante ingresará al aplicativo "Consulta por el contratante de CFDI y declaraciones" disponible en el buzón tributario, a partir del último día del mes inmediato posterior que se requiera consultar, y deberá:</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eastAsia="es-ES"/>
              </w:rPr>
              <w:t>LISR 27, LIVA 5, 32, RMF 2018 3.3.1.44., 3.3.1.49.</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b/>
                <w:bCs/>
                <w:color w:val="2F2F2F"/>
                <w:sz w:val="18"/>
                <w:szCs w:val="18"/>
                <w:lang w:eastAsia="es-ES"/>
              </w:rPr>
              <w:t>Se indica que la Bolsa Institucional de Valores es una bolsa de valores concesionada para los efectos de las leyes del ISR y CFF</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3.5.25.</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Para los efectos de lo establecido en los artículos 56, 126 y 166 de la Ley del ISR, en los que se hace mención a la enajenación de acciones a través de la Bolsa Mexicana de Valores concesionada en los términos de la Ley del Mercado de Valores, también queda comprendida la Bolsa Institucional de Valores concesionada en los términos de la Ley del Mercado de Valores.</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lastRenderedPageBreak/>
              <w:t>                   </w:t>
            </w:r>
            <w:r w:rsidRPr="00C259DA">
              <w:rPr>
                <w:rFonts w:ascii="Arial" w:eastAsia="Times New Roman" w:hAnsi="Arial" w:cs="Arial"/>
                <w:color w:val="2F2F2F"/>
                <w:sz w:val="18"/>
                <w:szCs w:val="18"/>
                <w:lang w:eastAsia="es-ES"/>
              </w:rPr>
              <w:t>Asimismo, para efectos del artículo 16-C, fracción I del CFF, además de la Bolsa Mexicana de Valores y el Mercado Mexicano de Derivados, también se considerará como mercado reconocido la Bolsa Institucional de Valores concesionada en los términos de la Ley del Mercado de Valores.</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eastAsia="es-ES"/>
              </w:rPr>
              <w:t>CFF 16-C, LISR 56, 126, 166</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b/>
                <w:bCs/>
                <w:color w:val="2F2F2F"/>
                <w:sz w:val="18"/>
                <w:szCs w:val="18"/>
                <w:lang w:eastAsia="es-ES"/>
              </w:rPr>
              <w:t>Actualización de la UFIN que se adiciona al saldo de la CUFIN al pagarse el ISR diferido</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3.6.7.</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Para efectos de lo dispuesto en el artículo 65, fracción III de la Ley del ISR, el monto de la utilidad fiscal neta que se adicione al saldo de la cuenta de utilidad fiscal neta del ejercicio en que ocurra el pago del impuesto diferido, podrá actualizarse por el periodo comprendido desde el mes en que se debió haber pagado el impuesto de no haberse ejercido la opción a que se refiere el Capítulo VI del Título II de la Ley del ISR, hasta la fecha en que sepresente la declaración en la cual se realice el pago del impuesto diferido de conformidad con el artículo 67, primer párrafo de la Ley del ISR.</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Lo dispuesto en la presente regla quedará condicionado a que el contribuyente realice el entero del ISR diferido actualizado a que se refiere el artículo 67, segundo párrafo de la citada Ley.</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eastAsia="es-ES"/>
              </w:rPr>
              <w:t>LISR 65, 67</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b/>
                <w:bCs/>
                <w:color w:val="2F2F2F"/>
                <w:sz w:val="18"/>
                <w:szCs w:val="18"/>
                <w:lang w:eastAsia="es-ES"/>
              </w:rPr>
              <w:t>Plazo para presentar información de partes relacionadas residentes en el extranjero por contribuyentes que opten o que tengan la obligación de dictaminar sus estados financieros</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3.9.3.</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Para los efectos de los artículos 76, fracción X y 110, fracción X de la Ley del ISR, los contribuyentes que hayan ejercido la opción o que tengan la obligación a que se refiere el artículo 32-A del CFF, podrán presentar la información que corresponda al ejercicio fiscal de que se trate a que se refieren dichas fracciones, a más tardar en la fecha en que deban presentar el dictamen de estados financieros.</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Al efecto, los contribuyentes podrán presentar en esa misma fecha, la declaración informativa local de partes relacionadas a que se refiere el artículo 76-A, fracción II de la Ley del ISR.</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eastAsia="es-ES"/>
              </w:rPr>
              <w:t>CFF 32-A, LISR 76, 76-A, 110</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b/>
                <w:bCs/>
                <w:color w:val="2F2F2F"/>
                <w:sz w:val="18"/>
                <w:szCs w:val="18"/>
                <w:lang w:eastAsia="es-ES"/>
              </w:rPr>
              <w:t>Facilidad para no presentar información de operaciones con partes relacionadas para las transacciones que se indican</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3.9.4.</w:t>
            </w:r>
            <w:r w:rsidRPr="00C259DA">
              <w:rPr>
                <w:rFonts w:ascii="Arial" w:eastAsia="Times New Roman" w:hAnsi="Arial" w:cs="Arial"/>
                <w:color w:val="2F2F2F"/>
                <w:sz w:val="20"/>
                <w:szCs w:val="20"/>
                <w:lang w:eastAsia="es-ES"/>
              </w:rPr>
              <w:t>           </w:t>
            </w:r>
            <w:r w:rsidRPr="00C259DA">
              <w:rPr>
                <w:rFonts w:ascii="Arial" w:eastAsia="Times New Roman" w:hAnsi="Arial" w:cs="Arial"/>
                <w:b/>
                <w:bCs/>
                <w:color w:val="2F2F2F"/>
                <w:sz w:val="18"/>
                <w:szCs w:val="18"/>
                <w:lang w:eastAsia="es-ES"/>
              </w:rPr>
              <w:t>(Se deroga)</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18"/>
                <w:szCs w:val="18"/>
                <w:lang w:eastAsia="es-ES"/>
              </w:rPr>
              <w:t> </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b/>
                <w:bCs/>
                <w:color w:val="2F2F2F"/>
                <w:sz w:val="18"/>
                <w:szCs w:val="18"/>
                <w:lang w:eastAsia="es-ES"/>
              </w:rPr>
              <w:t>Plazo para presentar información de partes relacionadas residentes en el extranjero por contribuyentes que no dictaminen sus estados financieros</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3.9.18.</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Para los efectos de los artículos 76, fracción X y 110, fracción X de la Ley del ISR en relación con lo dispuesto en la regla 2.8.4.1., los contribuyentes que no dictaminen sus estados financieros para efectos fiscales, podrán presentar la información que corresponda al ejercicio fiscal de que se trate a que se refieren dichas fracciones, contenida en el Anexo 9 de la DIM, a más tardar el 30 de junio del año inmediato posterior a la terminación delejercicio de que se trate, siempre que, en su caso, exista consistencia con la información declarada en términos del artículo 76-A, fracción II de la Ley del ISR, por lo cual los contribuyentes podrán presentar en esa misma fecha esta última declaración.</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eastAsia="es-ES"/>
              </w:rPr>
              <w:t>CFF 32-A, LISR 76, 76-A, 110, RMF 2018 2.8.4.1.</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b/>
                <w:bCs/>
                <w:color w:val="2F2F2F"/>
                <w:sz w:val="18"/>
                <w:szCs w:val="18"/>
                <w:lang w:eastAsia="es-ES"/>
              </w:rPr>
              <w:t>Ajustes de precios de transferencia</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3.9.1.1.</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Para los efectos de los artículos 76, primer párrafo, fracciones IX, X y XII, 76-A, fracción II y último párrafo, 90, penúltimo párrafo, 110, fracción XI, 153, primer párrafo, 179, primer y segundo párrafos; en su caso 180, segundo párrafo y 184 de la Ley del ISR, se considera ajuste de precios de transferencia, cualquier modificación a los precios, montos de contraprestaciones o márgenes de utilidad correspondientes a las operaciones celebradas por el contribuyente con sus partes relacionadas, que se realice para considerar que los ingresos acumulables o deducciones autorizadas derivados de dichas operaciones se determinaron considerando los precios o montos de contraprestaciones que hubieran utilizado con o entre partes independientes en operaciones comparables, incluso cuando no se efectúe una entrega de efectivo u otros recursos materiales entre las partes.</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Para efectos de esta regla, cuando los ajustes de precios de transferencia a que se refiere esta Sección, tengan efectos en el ámbito fiscal y contable, se les consideran como ajustes reales, cuando dichos ajustes tengan efectos solamente en el ámbito fiscal, se consideran como ajustes virtuales.</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Los ajustes de precios de transferencia reales o virtuales, pueden presentar las siguientes variantes:</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Voluntario o compensatorio: Es el ajuste que un contribuyente residente en México o residente en el extranjero con establecimiento permanente en el país realiza para que una operación con una parte relacionada se considere determinada como lo haría con o entre partes independientes en operaciones comparables y que se efectúa antes de la presentación de la declaración anual, ya sea normal ocomplementaria.</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Primario: Es el ajuste que resulta del ejercicio de facultades de comprobación a un contribuyente, en virtud del cual modifica para efectos fiscales el precio, monto de contraprestación o margen de utilidad para considerar que la operación celebrada con su parte relacionada nacional o extranjera, fue pactada como lo haría con o entre partes independientes en operaciones comparables.</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El ajuste primario puede generar, a su vez, un ajuste correlativo nacional o extranjero para la contraparte relacionada de la transacción.</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 xml:space="preserve">Correlativo nacional: Es el ajuste que puede aplicar un contribuyente residente en México como consecuencia de un ajuste </w:t>
            </w:r>
            <w:r w:rsidRPr="00C259DA">
              <w:rPr>
                <w:rFonts w:ascii="Arial" w:eastAsia="Times New Roman" w:hAnsi="Arial" w:cs="Arial"/>
                <w:color w:val="2F2F2F"/>
                <w:sz w:val="18"/>
                <w:szCs w:val="18"/>
                <w:lang w:eastAsia="es-ES"/>
              </w:rPr>
              <w:lastRenderedPageBreak/>
              <w:t>primario del que haya sido objeto la parte relacionada residente en México con quien realizó la transacción en cuestión.</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IV.</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Correlativo extranjero: Es el ajuste que puede aplicar un contribuyente residente en México o residente en el extranjero con establecimiento permanente en el país como consecuencia de un ajuste primario del que haya sido objeto la parte relacionada residente en el extranjero, como consecuencia de aplicar lo dispuesto por el artículo 184 de la Ley del ISR.</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V.</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Secundario: Es el ajuste que resulta de la aplicación de una contribución, conforme a la legislación fiscal aplicable, después de haber determinado un ajuste de precios de transferencia a una operación, el cual se caracteriza generalmente como un dividendo presunto. Se consideran ajustes secundarios los que resulten de aplicar lo dispuesto por los artículos 11, fracción II, 140, fracciones III y VI y 164, fracción I de la Ley del ISR.</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18"/>
                <w:szCs w:val="18"/>
                <w:lang w:eastAsia="es-ES"/>
              </w:rPr>
              <w:t> </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Tratándose de contribuyentes que de conformidad con lo dispuesto en la Ley del ISR obtienen sus ingresos en el momento en que se cobra el precio o la contraprestación pactada, se considera que los ajustes realizados a las operaciones que llevan a cabo tendrán efecto fiscal cuando sean efectivamente cobrados o pagados, según corresponda.</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Los ajustes de precios de transferencia tendrán el mismo concepto o naturaleza de la operación objeto del ajuste.</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eastAsia="es-ES"/>
              </w:rPr>
              <w:t>LISR 11, 76, 76-A, 90, 110, 140, 153, 164, 179, 180, 184</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b/>
                <w:bCs/>
                <w:color w:val="2F2F2F"/>
                <w:sz w:val="18"/>
                <w:szCs w:val="18"/>
                <w:lang w:eastAsia="es-ES"/>
              </w:rPr>
              <w:t>Aumento o disminución de ingresos o deducciones derivados de ajustes de precios de transferencia</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3.9.1.2.</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Para los efectos de la regla 3.9.1.1., se estará a lo siguiente en el mes o período de que se trate.</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A.</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En el caso de ajustes de precios de transferencia voluntarios o compensatorios y correlativos nacionales y extranjeros, según corresponda, que aumenten el precio, el monto de la contraprestación o afecten el margen de utilidad de la operación celebrada entre partes relacionadas:</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Los contribuyentes residentes en México, así como los residentes en el extranjero con establecimiento permanente en México, que hayan obtenido ingresos acumulables con motivo de la celebración de la operación referida, deberán incrementar dichos ingresos en un monto equivalente al del ajuste de que se trate. Para efectos de los pagos provisionales, tratándose de ajustes de precios de transferencia voluntarios o compensatorios, el incremento se considerará ingreso nominal en el mes en el que se realice el ajuste conforme a lo dispuesto por el artículo 14, tercer párrafo de la Ley del ISR.</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Los contribuyentes residentes en México, así como los residentes en el extranjero con establecimiento permanente en México que hayan efectuado deducciones con motivo de la celebración de la operación referida, podrán incrementar dichas deducciones en un monto equivalente al del ajuste, siempre que cumplan con lo previsto en las reglas 3.9.1.3., 3.9.1.4. o 3.9.1.5., según corresponda.</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Tratándose de ajustes de precios de transferencia voluntarios o compensatorios y correlativos extranjeros, según corresponda, que deban considerarse para efectos de la retención efectuada a un residente en el extranjero sin establecimiento permanente en el país en los términos delartículo 153, primer, tercer y cuarto párrafos de la Ley del ISR, el retenedor deberá enterar una cantidad equivalente a la que debió haber retenido al considerar dicho ajuste, cumpliendo con lo previsto en la regla 3.9.1.3., fracción XI.</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B.</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En el caso de ajustes de precios de transferencia voluntarios o compensatorios y correlativos nacionales y extranjeros, según corresponda que disminuyan el precio, monto de la contraprestación o afecten el margen de utilidad de la operación celebrada entre partes relacionadas:</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Los contribuyentes residentes en México, así como los residentes en el extranjero con establecimiento permanente en México que hayan obtenido ingresos acumulables con motivo de la celebración de la operación referida, podrán incrementar sus deducciones autorizadas en un monto equivalente al del ajuste, siempre que cumplan con lo previsto en las reglas 3.9.1.3., 3.9.1.4. o 3.9.1.5., según corresponda.</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Los contribuyentes residentes en México, así como los residentes en el extranjero con establecimiento permanente en México que hayan efectuado deducciones con motivo de la celebración de la operación referida, deberán disminuir dichas deducciones autorizadas en un monto equivalente al del ajuste.</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Tratándose de ajustes de precios de transferencia que deban considerarse para efectos de la retención efectuada a un residente en el extranjero sin establecimiento permanente en el país en los términos del artículo 153, primer, tercer y cuarto párrafos de la Ley del ISR, el retenedor:</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color w:val="2F2F2F"/>
                <w:sz w:val="18"/>
                <w:szCs w:val="18"/>
                <w:lang w:eastAsia="es-ES"/>
              </w:rPr>
              <w:t> </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a)</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Podrá compensar al residente en el extranjero sin establecimiento permanente en el país, con una cantidad equivalente a la que le retuvo en exceso como consecuencia de dicho ajuste, dicha compensación se aplicará a los siguientes importes retenidos, cuando se deba efectuar el entero de las retenciones de la operación con partes relacionadas que fue objeto de ajuste. Lo anterior, siempre que se trate de un ajuste de precios de transferencia real, que disminuya los costos y/o gastos, así como las cuentas por pagar del contribuyente con su parte relacionada y se cuente con los registros contables necesarios que permitan identificar plenamente las compensaciones efectuadas, desde su origen y en su aplicación.</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b)</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Si aplicó tasas de retención inferiores a las señaladas en la Ley del ISR, como consecuencia de la aplicación de tratados para evitar la doble tributación, someterá el monto del ajuste a imposición, de acuerdo con la Ley del ISR. Lo anterior, siempre que el ajuste de precios detransferencia sea virtual.</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 xml:space="preserve">Cuando se realicen los ajustes de ingresos o deducciones derivados de ajustes de precios de transferencia a que se refiere el presente apartado, se deberán realizar también los ajustes del IVA y del IEPS, respecto del valor de los actos o actividades, por lo que hace a la fracción I y del acreditamiento, por lo que hace a la fracción II, que conforme a la Ley del IVA y a la Ley del IEPS correspondan, disminuyendo en este último caso, en el mes de que se trate, el impuesto acreditable </w:t>
            </w:r>
            <w:r w:rsidRPr="00C259DA">
              <w:rPr>
                <w:rFonts w:ascii="Arial" w:eastAsia="Times New Roman" w:hAnsi="Arial" w:cs="Arial"/>
                <w:color w:val="2F2F2F"/>
                <w:sz w:val="18"/>
                <w:szCs w:val="18"/>
                <w:lang w:eastAsia="es-ES"/>
              </w:rPr>
              <w:lastRenderedPageBreak/>
              <w:t>que originalmente hayan considerado que cumplió en su momento con los requisitos de acreditamiento establecidos en la Ley de que se trate, correspondiente a las operaciones con partes relacionadas que dieron origen al ajuste. Dicha disminución será por una cantidad equivalente a la que resulte demultiplicar el valor del impuesto acreditable originalmente considerado para la operación de que se trate por el factor que resulte de dividir el monto del ajuste entre el importe de la operación no ajustada.</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En los casos contemplados en esta regla las autoridades fiscales podrán ejercer las facultades de comprobación previstas en el CFF, respecto del ajuste de precios de transferencia efectuado.</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eastAsia="es-ES"/>
              </w:rPr>
              <w:t>LISR 11, 14, 76, 140, 153, 164, 174, 179, 180, 184, LIVA 4, 5, 5-A, 5-B, 5-C, 24, 26, 27, 28, 28-A, LIEPS 4, 15, 15-A, 16, RLIVA 50, RMF 2018 3.9.1.1., 3.9.1.3., 3.9.1.4., 3.9.1.5.</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b/>
                <w:bCs/>
                <w:color w:val="2F2F2F"/>
                <w:sz w:val="18"/>
                <w:szCs w:val="18"/>
                <w:lang w:eastAsia="es-ES"/>
              </w:rPr>
              <w:t>Deducción de ajustes de precios de transferencia en el ejercicio fiscal en que fueron reconocidos los ingresos o deducciones derivados de las operaciones con partes relacionadas que los originaron</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3.9.1.3.</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Para los efectos de los artículos 25, 26 y 27, fracciones I, III, IV, V, XIV, XVIII y XXII, 36, fracción VII, 76, primer párrafo, fracciones IX y XII, 90, penúltimo párrafo, 110, fracción XI y 179, primer párrafo de la Ley del ISR, los contribuyentes que realicen un ajuste de precios de transferencia voluntario o compensatorio, que incremente sus deducciones, de conformidad con lo previsto en la regla 3.9.1.2., para considerar que se cumple con lasdisposiciones antes citadas y poder deducirlo, además de cumplir con los demás requisitos que establezcan las disposiciones fiscales deberán:</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Haber presentado en forma la información, las declaraciones normales o, en su caso, presentar las complementarias que le sean aplicables a que hacen referencia los artículos 25, fracción I de la LIF; 32-H del CFF; así como 76, fracciones V y X, 76-A y 110, fracciones VI y X de la Ley del ISR, contemplando o manifestando expresamente el ajuste de precios de transferencia.</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Obtener y conservar toda la documentación e información mediante la cual se identificó que la(s) operación(es) ajustada(s) originalmente, no consideró (consideraron) los precios, montos de contraprestaciones o márgenes de utilidad, que hubieran utilizado con o entre partes independientes en operaciones comparables, de acuerdo con lo dispuesto en los artículos 76, primer párrafo,fracciones IX y XII, 90, penúltimo párrafo, 110, fracción XI, 179, primer párrafo y, en su caso 180, segundo párrafo de la Ley del ISR.</w:t>
            </w:r>
          </w:p>
          <w:p w:rsidR="00C259DA" w:rsidRPr="00C259DA" w:rsidRDefault="00C259DA" w:rsidP="00C259DA">
            <w:pPr>
              <w:spacing w:after="68"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color w:val="2F2F2F"/>
                <w:sz w:val="18"/>
                <w:szCs w:val="18"/>
                <w:lang w:eastAsia="es-ES"/>
              </w:rPr>
              <w:t> </w:t>
            </w:r>
          </w:p>
          <w:p w:rsidR="00C259DA" w:rsidRPr="00C259DA" w:rsidRDefault="00C259DA" w:rsidP="00C259DA">
            <w:pPr>
              <w:spacing w:after="68"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Obtener y conservar un escrito firmado por quien elaboró la documentación e información a que hacen referencia las fracciones II y V de la presente regla en el que se indique la razón por la cual los precios, montos de contraprestaciones, o márgenes de utilidad pactados originalmente, no correspondieron con los que hubieran determinado partes independientes en operaciones comparables.</w:t>
            </w:r>
          </w:p>
          <w:p w:rsidR="00C259DA" w:rsidRPr="00C259DA" w:rsidRDefault="00C259DA" w:rsidP="00C259DA">
            <w:pPr>
              <w:spacing w:after="68"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IV.</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Obtener y conservar un escrito firmado por quien elaboró la documentación e información a que hacen referencia las fracciones II y V de la presente regla en el que se explique la consistencia o inconsistencia en la aplicación de las metodologías de precios de transferencia por el contribuyente y en la búsqueda de operaciones o empresas comparables, al menos en relación con el ejercicio fiscalinmediato anterior, con respecto a la operación que fue ajustada de manera voluntaria o compensatoria.</w:t>
            </w:r>
          </w:p>
          <w:p w:rsidR="00C259DA" w:rsidRPr="00C259DA" w:rsidRDefault="00C259DA" w:rsidP="00C259DA">
            <w:pPr>
              <w:spacing w:after="68"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V.</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Obtener y conservar toda la documentación e información con la cual sea posible corroborar que mediante el ajuste de precios de transferencia, la(s) operación(es) en cuestión consideró (consideraron) los precios, montos de contraprestaciones o márgenes de utilidad que hubieran utilizado con o entre partes independientes en operaciones comparables, de acuerdo con lo dispuesto en los artículos 76, primer párrafo, fracciones IX y XII, 90, penúltimo párrafo, 110, fracción XI, y 179, primerpárrafo así como, en su caso 180, segundo párrafo de la Ley del ISR. Esta documentación e información debe incluir el cálculo aritmético del ajuste de precios de transferencia voluntario o compensatorio.</w:t>
            </w:r>
          </w:p>
          <w:p w:rsidR="00C259DA" w:rsidRPr="00C259DA" w:rsidRDefault="00C259DA" w:rsidP="00C259DA">
            <w:pPr>
              <w:spacing w:after="68"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VI.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Contar con el CFDI o comprobante fiscal que cumpla con los requisitos establecidos en los artículos 29 y 29-A del CFF, o bien, en la regla 2.7.1.16., según se trate de operaciones con partes relacionadas con un residente en territorio nacional o en el extranjero sin establecimiento permanente en México, así como en las demás disposiciones aplicables, correspondiente a la operación original que fue ajustada.</w:t>
            </w:r>
          </w:p>
          <w:p w:rsidR="00C259DA" w:rsidRPr="00C259DA" w:rsidRDefault="00C259DA" w:rsidP="00C259DA">
            <w:pPr>
              <w:spacing w:after="68"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VII.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Tratándose de deducciones asociadas a la adquisición de mercancías de importación, contar con la documentación que ampare en su caso, el pago del IVA y del IEPS que corresponda.</w:t>
            </w:r>
          </w:p>
          <w:p w:rsidR="00C259DA" w:rsidRPr="00C259DA" w:rsidRDefault="00C259DA" w:rsidP="00C259DA">
            <w:pPr>
              <w:spacing w:after="68"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VIII.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Tratándose de ajustes reales, el contribuyente deberá contar o emitir, según corresponda, con un CFDI o comprobante fiscal que ampare dicho ajuste, el cual deberá cumplir los requisitos establecidos en los artículos 29 y 29-A del CFF o bien, en la regla 2.7.1.16., según se trate, de operaciones con partes relacionadas con un residente en territorio nacional o en el extranjero sin establecimiento permanente en México así como en las demás disposiciones aplicables y, deberá correlacionarlo en la contabilidad con los que inicialmente se hayan expedido para la operación ajustada.</w:t>
            </w:r>
          </w:p>
          <w:p w:rsidR="00C259DA" w:rsidRPr="00C259DA" w:rsidRDefault="00C259DA" w:rsidP="00C259DA">
            <w:pPr>
              <w:spacing w:after="68"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El CFDI o comprobante fiscal que ampare el ajuste de precios de transferencia realizado de manera voluntaria o compensatoria podrá expedirse en el ejercicio fiscal en que se presentó o se debió haber presentado la declaración a que hace referencia el artículo 76, fracción V de la Ley del ISR, con los datos de la operación que fue ajustada como ingreso acumulable o deducción autorizada, de maneravoluntaria o compensatoria dentro del elemento "Concepto", atributo "Descripción".</w:t>
            </w:r>
          </w:p>
          <w:p w:rsidR="00C259DA" w:rsidRPr="00C259DA" w:rsidRDefault="00C259DA" w:rsidP="00C259DA">
            <w:pPr>
              <w:spacing w:after="68"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En todo caso el CFDI o comprobante fiscal deberá incluir al menos la siguiente información:</w:t>
            </w:r>
          </w:p>
          <w:p w:rsidR="00C259DA" w:rsidRPr="00C259DA" w:rsidRDefault="00C259DA" w:rsidP="00C259DA">
            <w:pPr>
              <w:spacing w:after="68"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1.</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La descripción de la operación ajustada de manera voluntaria o compensatoria.</w:t>
            </w:r>
          </w:p>
          <w:p w:rsidR="00C259DA" w:rsidRPr="00C259DA" w:rsidRDefault="00C259DA" w:rsidP="00C259DA">
            <w:pPr>
              <w:spacing w:after="68"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2.</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El monto de la operación original, mismo que podrá corresponder al que se manifiesta en la información que se presenta para dar cumplimiento a lo dispuesto por los artículos 25, fracción I de la LIF, 32-H del CFF y 76, fracción X de la Ley del ISR.</w:t>
            </w:r>
          </w:p>
          <w:p w:rsidR="00C259DA" w:rsidRPr="00C259DA" w:rsidRDefault="00C259DA" w:rsidP="00C259DA">
            <w:pPr>
              <w:spacing w:after="68"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3.</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En su caso, la utilidad bruta u operativa original objeto de ajuste realizado de manera voluntaria o compensatoria.</w:t>
            </w:r>
          </w:p>
          <w:p w:rsidR="00C259DA" w:rsidRPr="00C259DA" w:rsidRDefault="00C259DA" w:rsidP="00C259DA">
            <w:pPr>
              <w:spacing w:after="68"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lastRenderedPageBreak/>
              <w:t>4.</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El ejercicio fiscal en que se declaró como ingreso acumulable o deducción autorizada.</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5.</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La descripción del ajuste de precios de transferencia realizado de manera voluntaria o compensatoria.</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color w:val="2F2F2F"/>
                <w:sz w:val="18"/>
                <w:szCs w:val="18"/>
                <w:lang w:eastAsia="es-ES"/>
              </w:rPr>
              <w:t> </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IX.</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Registrar en términos de los artículos 28 del CFF, 27, fracción IV de la Ley del ISR, así como 44 de su Reglamento, los ajustes de precios de transferencia realizados de manera voluntaria o compensatoria en la contabilidad en cuentas de orden y reconocerlos en la conciliación entre el resultado contable y el fiscal para efectos del ISR, cuando solamente sean virtuales.</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X.</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Acreditar que la parte relacionada con la que se celebró la operación ajustada de manera voluntaria o compensatoria, acumuló el ingreso correspondiente a dicho ajuste o disminuyó la deducción, según corresponda, en el mismo ejercicio fiscal en el que éste se dedujo y por el mismo monto ajustado, así como que no representan ingresos sujetos a un régimen fiscal preferente.</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El requisito antes señalado se podrá cumplir con la obtención de una manifestación bajo protesta de decir verdad, en su caso, debidamente traducida al español, en la cual el representante legal o su equivalente debidamente acreditado de la parte relacionada con la que se celebró la operación ajustada, confirme que dicha parte relacionada lo acumuló o disminuyó, según corresponda, indique el monto ajustado, el ejercicio fiscal en el que lo realizó y señale de forma expresa que los ajustes efectuados no representaron ingresos sujetos a un régimen fiscal preferente, esto último como se define en términos de la Ley del ISR.</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XI.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Cumplir con la obligación de retener y enterar el ISR a cargo de terceros, en términos del artículo 27, fracción V de la Ley del ISR, que derive del ajuste de precios de transferencia realizado de manera voluntaria o compensatoria, sin perjuicio de lo dispuesto por los tratados internacionales de los que México es parte. Tratándose de las retenciones en términos del artículo 153, primer y cuarto párrafos de la Ley del ISR, cuando el contribuyente como retenedor y responsable solidario no esté en posibilidad de identificar la fecha de la exigibilidad que corresponda al pago, deberá considerar que dicha fecha fue a más tardar el último día del ejercicio fiscal al que corresponda la operación ajustada.</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Los contribuyentes podrán efectuar la deducción de los ajustes de precios de transferencia voluntarios o compensatorios en los términos de esta regla sólo en el ejercicio fiscal en que fueron reconocidos los ingresos o deducciones derivados de las operaciones con partes relacionadas que los originaron.</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Los ajustes de precios de transferencia voluntarios o compensatorios deberán reflejarse en las declaraciones o en el dictamen, según corresponda, a más tardar:</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a)</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Cuando venza el plazo previsto en el artículo 76, fracción V de la Ley del ISR para presentar la declaración del ejercicio, tratándose de contribuyentes que no hayan ejercido la opción a que se refiere el artículo 32-A del CFF.</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b)</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En las fechas establecidas en las reglas 3.9.3. y 3.9.18., respectivamente para presentar el dictamen de estados financieros, tratándose de contribuyentes que hayan ejercido la opción a que se refiere el artículo 32-A del CFF, y la información a que se refieren los artículos 76, fracción X y 110, fracción X de la Ley del ISR, siempre que en este último caso, dicha información sea coincidente con la presentada para dar cumplimiento al artículo 32-H del CFF, ya que en caso contrario no será aplicable lo establecido en esta regla.</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Las autoridades fiscales podrán ejercer las facultades de comprobación previstas en el CFF, respecto de la información descrita anteriormente.</w:t>
            </w:r>
          </w:p>
          <w:p w:rsidR="00C259DA" w:rsidRPr="00C259DA" w:rsidRDefault="00C259DA" w:rsidP="00C259DA">
            <w:pPr>
              <w:spacing w:after="101" w:line="240" w:lineRule="auto"/>
              <w:ind w:hanging="1152"/>
              <w:jc w:val="both"/>
              <w:rPr>
                <w:rFonts w:ascii="Arial" w:eastAsia="Times New Roman" w:hAnsi="Arial" w:cs="Arial"/>
                <w:color w:val="2F2F2F"/>
                <w:sz w:val="18"/>
                <w:szCs w:val="18"/>
                <w:lang w:val="en-US"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val="en-US" w:eastAsia="es-ES"/>
              </w:rPr>
              <w:t>CFF 28, 29, 29-A, 32, 32-A, 32-H, LISR 25, 26, 27, 36, 76, 76-A, 90, 110, 153, 176, 179, 180, 184, LIF </w:t>
            </w:r>
            <w:r w:rsidRPr="00C259DA">
              <w:rPr>
                <w:rFonts w:ascii="Arial" w:eastAsia="Times New Roman" w:hAnsi="Arial" w:cs="Arial"/>
                <w:color w:val="2F2F2F"/>
                <w:sz w:val="18"/>
                <w:szCs w:val="18"/>
                <w:lang w:val="en-US" w:eastAsia="es-ES"/>
              </w:rPr>
              <w:t>25, </w:t>
            </w:r>
            <w:r w:rsidRPr="00C259DA">
              <w:rPr>
                <w:rFonts w:ascii="Arial" w:eastAsia="Times New Roman" w:hAnsi="Arial" w:cs="Arial"/>
                <w:i/>
                <w:iCs/>
                <w:color w:val="2F2F2F"/>
                <w:sz w:val="18"/>
                <w:szCs w:val="18"/>
                <w:lang w:val="en-US" w:eastAsia="es-ES"/>
              </w:rPr>
              <w:t>RLISR 44, RMF 2018 2.7.1.16., 3.9.3., 3.9.18., 3.9.1.1., 3.9.1.2., 3.9.1.4.</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val="en-US" w:eastAsia="es-ES"/>
              </w:rPr>
              <w:t>                   </w:t>
            </w:r>
            <w:r w:rsidRPr="00C259DA">
              <w:rPr>
                <w:rFonts w:ascii="Arial" w:eastAsia="Times New Roman" w:hAnsi="Arial" w:cs="Arial"/>
                <w:b/>
                <w:bCs/>
                <w:color w:val="2F2F2F"/>
                <w:sz w:val="18"/>
                <w:szCs w:val="18"/>
                <w:lang w:eastAsia="es-ES"/>
              </w:rPr>
              <w:t>Deducción de ajustes de precios de transferencia previo aviso ante el SAT</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3.9.1.4.</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Los contribuyentes que realicen un ajuste de precios de transferencia voluntario o compensatorio con posterioridad a los plazos establecidos en la regla 3.9.1.3., tercer párrafo podrán deducirlo en el ejercicio fiscal en que fueron reconocidos los ingresos o deducciones derivados de las operaciones con partes relacionadas que los originaron, siempre que previamente presenten aviso cumpliendo con los requisitos establecidos en la ficha de trámite 130/ISR "Aviso previo de ajustes de precios de transferencia realizado en términos de la regla 3.9.1.4., primer párrafo", contenida en el Anexo 1-A.</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18"/>
                <w:szCs w:val="18"/>
                <w:lang w:eastAsia="es-ES"/>
              </w:rPr>
              <w:t> </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Asimismo, los contribuyentes que pretendan realizar un ajuste de precios de transferencia correlativo nacional, como consecuencia de un ajuste primario a su contraparte a que se refiere la regla 3.9.1.1., podrán deducirlo siempre que derive de una corrección fiscal de su contraparte y que previamente presenten aviso cumpliendo con los requisitos establecidos en la ficha de trámite 134/ISR "Aviso previo de ajustes de precios de transferencia realizado en términos de la regla 3.9.1.4., segundo párrafo", contenida en el Anexo 1-A.</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Respecto de la información presentada en los avisos antes citados, la autoridad fiscal podrá ejercer las facultades de comprobación previstas en el CFF.</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eastAsia="es-ES"/>
              </w:rPr>
              <w:t>LISR 184, RMF 2018 3.9.1.1., 3.9.1.2.,3.9.1.3.</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b/>
                <w:bCs/>
                <w:color w:val="2F2F2F"/>
                <w:sz w:val="18"/>
                <w:szCs w:val="18"/>
                <w:lang w:eastAsia="es-ES"/>
              </w:rPr>
              <w:t>Deducción de ajustes de precios de transferencia que resulten de una resolución emitida en términos del artículo 34-A del CFF</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3.9.1.5.</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 xml:space="preserve">Los contribuyentes podrán solicitar a la(s) autoridad(es) competente(s) que la deducción del ajuste de precios de transferencia que resulte de aplicar el artículo 34-A del CFF, en términos de la regla 2.12.8. y la ficha de trámite 102/CFF "Consultas en materia de precios de transferencia", contenida en el Anexo 1-A y, en su caso, el ajuste correlativo extranjero previsto por el artículo 184 de la Ley del ISR, sea en ejercicios fiscales distintos alestablecido en la regla 3.9.1.3. y, en su caso, la forma específica para dar cumplimiento a los requisitos establecidos en dicha regla. Los </w:t>
            </w:r>
            <w:r w:rsidRPr="00C259DA">
              <w:rPr>
                <w:rFonts w:ascii="Arial" w:eastAsia="Times New Roman" w:hAnsi="Arial" w:cs="Arial"/>
                <w:color w:val="2F2F2F"/>
                <w:sz w:val="18"/>
                <w:szCs w:val="18"/>
                <w:lang w:eastAsia="es-ES"/>
              </w:rPr>
              <w:lastRenderedPageBreak/>
              <w:t>citados ejercicios en ningún caso excederán de la vigencia de la resolución establecida en el penúltimo párrafo del citado artículo 34-A del CFF.</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Las declaraciones complementarias que presenten los contribuyentes que se ubiquen en alguno de los supuestos establecidos en el párrafo anterior, no se considerarán dentro de los límites establecidos en el artículo 32 del CFF.</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eastAsia="es-ES"/>
              </w:rPr>
              <w:t>CFF 32, 34-A, LISR 184, RMF 2018 2.12.8., 3.9.1.1., 3.9.1.2., 3.9.1.3., 3.9.1.4.</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b/>
                <w:bCs/>
                <w:color w:val="2F2F2F"/>
                <w:sz w:val="18"/>
                <w:szCs w:val="18"/>
                <w:lang w:eastAsia="es-ES"/>
              </w:rPr>
              <w:t>Información relativa a la transparencia y al uso y destino de los donativos recibidos y actividades destinadas a influir en la legislación</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3.10.11.</w:t>
            </w:r>
            <w:r w:rsidRPr="00C259DA">
              <w:rPr>
                <w:rFonts w:ascii="Arial" w:eastAsia="Times New Roman" w:hAnsi="Arial" w:cs="Arial"/>
                <w:color w:val="2F2F2F"/>
                <w:sz w:val="20"/>
                <w:szCs w:val="20"/>
                <w:lang w:eastAsia="es-ES"/>
              </w:rPr>
              <w:t>        .......................................................................................................................</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Las donatarias autorizadas que recibieron donativos con el objeto de atender las contingencias ocasionadas con motivo de los sismos ocurridos en México en el mes de septiembre de 2017, deberán presentar los informes en los términos y con la información contemplada en la ficha de trámite</w:t>
            </w:r>
            <w:r w:rsidRPr="00C259DA">
              <w:rPr>
                <w:rFonts w:ascii="Arial" w:eastAsia="Times New Roman" w:hAnsi="Arial" w:cs="Arial"/>
                <w:b/>
                <w:bCs/>
                <w:color w:val="2F2F2F"/>
                <w:sz w:val="18"/>
                <w:szCs w:val="18"/>
                <w:lang w:eastAsia="es-ES"/>
              </w:rPr>
              <w:t> </w:t>
            </w:r>
            <w:r w:rsidRPr="00C259DA">
              <w:rPr>
                <w:rFonts w:ascii="Arial" w:eastAsia="Times New Roman" w:hAnsi="Arial" w:cs="Arial"/>
                <w:color w:val="2F2F2F"/>
                <w:sz w:val="18"/>
                <w:szCs w:val="18"/>
                <w:lang w:eastAsia="es-ES"/>
              </w:rPr>
              <w:t>128/ISR "Informes de transparencia relacionados con donativos recibidos por los sismos ocurridos en México durante el mes de septiembre de2017", contenida en el Anexo 1-A.</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En caso de que las donatarias autorizadas que recibieron donativos con el objeto de atender las contingencias ocasionadas con motivo de los sismos ocurridos en México durante el mes de septiembre de 2017 no presenten los informes descritos en el párrafo anterior, perderán la vigencia de su autorización en los mismos términos de lo previsto en la regla 3.10.2., fracción II, de la RMF para 2017.</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eastAsia="es-ES"/>
              </w:rPr>
              <w:t>LISR 82, RLISR 36, LIF 31, RMF 2017 3.10.2., 3.10.3., 3.10.22.</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b/>
                <w:bCs/>
                <w:color w:val="2F2F2F"/>
                <w:sz w:val="18"/>
                <w:szCs w:val="18"/>
                <w:lang w:eastAsia="es-ES"/>
              </w:rPr>
              <w:t>Solicitud de nueva autorización para recibir donativos deducibles, en caso de revocación</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3.10.13.</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Cuando la autorización para recibir donativos deducibles haya sido revocada o haya perdido su vigencia, la organización civil o fideicomiso podrá presentar solicitud de nueva autorización en los términos señalados en la ficha de trámite 17/ISR "Solicitud de nueva autorización para recibir donativos deducibles", contenida en el Anexo 1-A.</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eastAsia="es-ES"/>
              </w:rPr>
              <w:t>LISR 82, RMF 2018 3.10.2., 3.10.11.</w:t>
            </w:r>
          </w:p>
          <w:p w:rsidR="00C259DA" w:rsidRPr="00C259DA" w:rsidRDefault="00C259DA" w:rsidP="00C259DA">
            <w:pPr>
              <w:spacing w:after="80"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18"/>
                <w:szCs w:val="18"/>
                <w:lang w:eastAsia="es-ES"/>
              </w:rPr>
              <w:t> </w:t>
            </w:r>
          </w:p>
          <w:p w:rsidR="00C259DA" w:rsidRPr="00C259DA" w:rsidRDefault="00C259DA" w:rsidP="00C259DA">
            <w:pPr>
              <w:spacing w:after="80"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b/>
                <w:bCs/>
                <w:color w:val="2F2F2F"/>
                <w:sz w:val="18"/>
                <w:szCs w:val="18"/>
                <w:lang w:eastAsia="es-ES"/>
              </w:rPr>
              <w:t>Donatarias que entregan apoyos económicos a personas físicas que tienen su casa habitación en las zonas afectadas por los sismos ocurridos en México los días 7 y 19 de septiembre de 2017</w:t>
            </w:r>
          </w:p>
          <w:p w:rsidR="00C259DA" w:rsidRPr="00C259DA" w:rsidRDefault="00C259DA" w:rsidP="00C259DA">
            <w:pPr>
              <w:spacing w:after="80"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3.10.28.</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Para efectos de lo dispuesto en los artículos 82, fracción I y penúltimo párrafo de la Ley del ISR, 138 de su Reglamento y de la regla 3.10.6., fracciones I y II, en relación con el artículo 25, fracción V de la LIF para 2018, no se considera que las organizaciones civiles y fideicomisos autorizados para recibir donativos deducibles en términos de la Ley del ISR, incumplen con el objeto social o fin autorizado cuando otorguen apoyos económicos o monetarios a las personas físicas que tengan su casa habitación en las zonas afectadas por los sismos ocurridos en México los días 7 y 19 de septiembre de 2017.</w:t>
            </w:r>
          </w:p>
          <w:p w:rsidR="00C259DA" w:rsidRPr="00C259DA" w:rsidRDefault="00C259DA" w:rsidP="00C259DA">
            <w:pPr>
              <w:spacing w:after="80"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Lo anterior, siempre y cuando las mencionadas personas morales y fideicomisos autorizados, se aseguren de que el apoyo económico referido se destinó a la reconstrucción o reparación de la casa habitación del beneficiario dentro de los seis meses siguientes a la entrega del apoyo y presenten los informes de transparencia relacionados con donativos recibidos por los sismos ocurridos en México durante el mes de septiembre de 2017, a que se refiere la regla 3.10.11.</w:t>
            </w:r>
          </w:p>
          <w:p w:rsidR="00C259DA" w:rsidRPr="00C259DA" w:rsidRDefault="00C259DA" w:rsidP="00C259DA">
            <w:pPr>
              <w:spacing w:after="80"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Las operaciones descritas en la presente regla no actualizan el supuesto jurídico contemplado en el artículo 79, penúltimo párrafo de la Ley del ISR.</w:t>
            </w:r>
          </w:p>
          <w:p w:rsidR="00C259DA" w:rsidRPr="00C259DA" w:rsidRDefault="00C259DA" w:rsidP="00C259DA">
            <w:pPr>
              <w:spacing w:after="80"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eastAsia="es-ES"/>
              </w:rPr>
              <w:t>LISR 79, 82, RLISR 138, LIF 25, RMF 2018 3.10.6., 3.10.11.</w:t>
            </w:r>
          </w:p>
          <w:p w:rsidR="00C259DA" w:rsidRPr="00C259DA" w:rsidRDefault="00C259DA" w:rsidP="00C259DA">
            <w:pPr>
              <w:spacing w:after="80"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b/>
                <w:bCs/>
                <w:color w:val="2F2F2F"/>
                <w:sz w:val="18"/>
                <w:szCs w:val="18"/>
                <w:lang w:eastAsia="es-ES"/>
              </w:rPr>
              <w:t>Procedimiento para que los fondos de inversión retengan a sus inversionistas el ISR por la distribución del resultado fiscal de fideicomisos dedicados a la adquisición o construcción de inmuebles</w:t>
            </w:r>
          </w:p>
          <w:p w:rsidR="00C259DA" w:rsidRPr="00C259DA" w:rsidRDefault="00C259DA" w:rsidP="00C259DA">
            <w:pPr>
              <w:spacing w:after="80"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3.10.29.</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Para los efectos del artículo 87, noveno párrafo de la Ley del ISR y la regla 3.21.3.10., los fondos de inversión de renta variable que perciban ingresos provenientes de la distribución del resultado fiscal de los fideicomisos a que se refiere el artículo 187 de la Ley del ISR, al cierre de sus operaciones diarias determinarán el ingreso gravable correspondiente a los accionistas o integrantes de los citados fondos de inversión, de conformidad con lo siguiente:</w:t>
            </w:r>
          </w:p>
          <w:p w:rsidR="00C259DA" w:rsidRPr="00C259DA" w:rsidRDefault="00C259DA" w:rsidP="00C259DA">
            <w:pPr>
              <w:spacing w:after="80"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Identificarán al final de cada día el importe del resultado fiscal por certificado recibido de los fideicomisos referidos en el primer párrafo de la presente regla.</w:t>
            </w:r>
          </w:p>
          <w:p w:rsidR="00C259DA" w:rsidRPr="00C259DA" w:rsidRDefault="00C259DA" w:rsidP="00C259DA">
            <w:pPr>
              <w:spacing w:after="80"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Determinarán el ISR causado por la distribución, multiplicando el referido resultado fiscal por la tasa establecida en el artículo 9 de la Ley del ISR.</w:t>
            </w:r>
          </w:p>
          <w:p w:rsidR="00C259DA" w:rsidRPr="00C259DA" w:rsidRDefault="00C259DA" w:rsidP="00C259DA">
            <w:pPr>
              <w:spacing w:after="80"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Calcularán el monto del ISR causado por acción, dividiendo el monto obtenido conforme a la fracción II, entre el número de acciones en circulación del fondo de inversión.</w:t>
            </w:r>
          </w:p>
          <w:p w:rsidR="00C259DA" w:rsidRPr="00C259DA" w:rsidRDefault="00C259DA" w:rsidP="00C259DA">
            <w:pPr>
              <w:spacing w:after="80"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IV.</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Obtendrán el ISR correspondiente al integrante o accionista del fondo de inversión, multiplicando el valor obtenido conforme a la fracción III por el número de acciones que sean propiedad del integrante o accionista.</w:t>
            </w:r>
          </w:p>
          <w:p w:rsidR="00C259DA" w:rsidRPr="00C259DA" w:rsidRDefault="00C259DA" w:rsidP="00C259DA">
            <w:pPr>
              <w:spacing w:after="80"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El fondo de inversión de renta variable deberá retener y enterar el impuesto causado por sus accionistas o integrantes que provenga de los ingresos derivado de la distribución a que se refiere el primer párrafo de esta regla, a más tardar el día 17 del mes siguiente al mes en que se obtengan los ingresos referidos.</w:t>
            </w:r>
          </w:p>
          <w:p w:rsidR="00C259DA" w:rsidRPr="00C259DA" w:rsidRDefault="00C259DA" w:rsidP="00C259DA">
            <w:pPr>
              <w:spacing w:after="80"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eastAsia="es-ES"/>
              </w:rPr>
              <w:t>LISR 87, 187, RMF 2018 3.2.19., 3.21.3.10.</w:t>
            </w:r>
          </w:p>
          <w:p w:rsidR="00C259DA" w:rsidRPr="00C259DA" w:rsidRDefault="00C259DA" w:rsidP="00C259DA">
            <w:pPr>
              <w:spacing w:after="80"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b/>
                <w:bCs/>
                <w:color w:val="2F2F2F"/>
                <w:sz w:val="18"/>
                <w:szCs w:val="18"/>
                <w:lang w:eastAsia="es-ES"/>
              </w:rPr>
              <w:t xml:space="preserve">Procedimiento para que los fondos de inversión calculen el ISR por la inversión en operaciones financieras </w:t>
            </w:r>
            <w:r w:rsidRPr="00C259DA">
              <w:rPr>
                <w:rFonts w:ascii="Arial" w:eastAsia="Times New Roman" w:hAnsi="Arial" w:cs="Arial"/>
                <w:b/>
                <w:bCs/>
                <w:color w:val="2F2F2F"/>
                <w:sz w:val="18"/>
                <w:szCs w:val="18"/>
                <w:lang w:eastAsia="es-ES"/>
              </w:rPr>
              <w:lastRenderedPageBreak/>
              <w:t>derivadas</w:t>
            </w:r>
          </w:p>
          <w:p w:rsidR="00C259DA" w:rsidRPr="00C259DA" w:rsidRDefault="00C259DA" w:rsidP="00C259DA">
            <w:pPr>
              <w:spacing w:after="80"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3.10.30.</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Para los efectos de los artículos 87, sexto y penúltimo párrafos y 88, penúltimo párrafo de la Ley del ISR, los fondos de inversión que celebren operaciones financieras derivadas a las que se refieren los artículos 16-A del CFF y 20 de la citada Ley y que no sean de las previstas en la regla 3.2.19., podrán determinar el impuesto diario correspondiente a cada integrante del fondo correspondiente a operaciones financieras derivadas, de conformidad con lo siguiente:</w:t>
            </w:r>
          </w:p>
          <w:p w:rsidR="00C259DA" w:rsidRPr="00C259DA" w:rsidRDefault="00C259DA" w:rsidP="00C259DA">
            <w:pPr>
              <w:spacing w:after="80"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Diariamente identificarán y adicionarán los ingresos devengados por concepto de plusvalías y ganancias en las operaciones financieras derivadas referidas en el primer párrafo de la presente regla.</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Diariamente identificarán y adicionarán los gastos devengados por concepto de minusvalías y pérdidas en las operaciones financieras derivadas ya referidas.</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color w:val="2F2F2F"/>
                <w:sz w:val="18"/>
                <w:szCs w:val="18"/>
                <w:lang w:eastAsia="es-ES"/>
              </w:rPr>
              <w:t> </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Determinarán el importe diario neto disminuyendo a los ingresos a que se refiere la fracción I, los gastos determinados conforme a la fracción II.</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IV.</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Calcularán el porcentaje de participación accionaria del contribuyente, dividiendo el número de acciones propiedad del contribuyente, entre el número total de acciones de la serie.</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V.</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Determinarán el ingreso atribuible por contribuyente multiplicando el importe diario neto en operaciones financieras derivadas, determinado conforme a la fracción III, por el porcentaje de participación accionaria, determinado conforme a la fracción IV.</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VI.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Multiplicarán el ingreso atribuible determinado conforme a la fracción anterior por la tasa del impuesto a que se refiere el artículo 146, segundo párrafo de la Ley del ISR.</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Los fondos de inversión a que se refiere esta regla, a través de sus operadores, administradores o distribuidores, según se trate, a más tardar el 15 de febrero de cada año, deberán proporcionar a los integrantes o accionistas personas físicas constancia anual en CFDI, señalando el monto total de la plusvalía y ganancia realizada, así como de la minusvalía y pérdida realizada por el fondo de inversión. Los integrantes o accionistas personas físicas acumularán en su declaración anual el interés devengado a su favor por dichos fondos.</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eastAsia="es-ES"/>
              </w:rPr>
              <w:t>CFF 16-A, LISR 20, 21, 54, 87, 88, RMF 2018 3.2.19.</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b/>
                <w:bCs/>
                <w:color w:val="2F2F2F"/>
                <w:sz w:val="18"/>
                <w:szCs w:val="18"/>
                <w:lang w:eastAsia="es-ES"/>
              </w:rPr>
              <w:t>Procedimiento para determinar los años de cotización de los trabajadores afiliados al IMSS en el retiro de los recursos de la cuenta individual</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3.11.3.</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Para determinar los años de cotización a que se refiere el artículo 93, fracción XIII de la Ley del ISR, las administradoras de fondos para el retiro o PENSIONISSSTE, que entreguen al trabajador o a su(s) beneficiario(s) en una sola exhibición, recursos con cargo a la subcuenta del seguro de retiro (SAR92) de acuerdo a la Ley del Seguro Social, deberán utilizar la resolución o la negativa de pensión, emitidas por el IMSS, o bien, la constancia que acredite que el trabajador cuenta con una pensión o jubilación derivada de un plan privado de jubilación o del régimen de jubilaciones y pensiones de los trabajadores del IMSS. Cuando el trabajador adquiera el derecho a disfrutar de una pensión en los términos de la Ley del Seguro Social de 1973, se deberá utilizar la constancia emitida por el empleador con la que se acredite el derecho, de conformidad con las disposiciones de carácter general que emita la CONSAR. En cualquier caso, el documento deberá indicar elnúmero de años o semanas de cotización del trabajador.</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Para determinar el monto de los ingresos gravados, las administradoras de fondos para el retiro o PENSIONISSSTE disminuirán del total retirado de la subcuenta referida, la cantidad exenta determinada a partir de la información proporcionada por el trabajador o su(s) beneficiario(s), de acuerdo a lo establecido en los párrafos anteriores. El monto así obtenido se sujetará a lo dispuesto en el Capítulo IX del Título IV de la Ley del ISR. El trabajador o su(s) beneficiario(s), podrán optar porque las administradoras de fondos para el retiro oPENSIONISSSTE efectúen la retención del ISR en los términos de la regla 3.11.2., y tratándose de trabajadores que cuenten con una pensión derivada de un plan privado de pensión no autorizado ni registrado por la CONSAR, deberán cumplir con los requisitos que para tales efectos establezca dicha Comisión mediante disposiciones de carácter general.</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eastAsia="es-ES"/>
              </w:rPr>
              <w:t>LISR 93, 142, 145, LSS 1973 183-C, Ley del Seguro Social 1997, Décimo Tercero Transitorio, Ley de los Sistemas del Ahorro para el Retiro Noveno Transitorio, RLISR 147, 171, 173, RMF 2018 3.11.2.</w:t>
            </w:r>
          </w:p>
          <w:p w:rsidR="00C259DA" w:rsidRPr="00C259DA" w:rsidRDefault="00C259DA" w:rsidP="00C259DA">
            <w:pPr>
              <w:spacing w:after="80"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18"/>
                <w:szCs w:val="18"/>
                <w:lang w:eastAsia="es-ES"/>
              </w:rPr>
              <w:t> </w:t>
            </w:r>
          </w:p>
          <w:p w:rsidR="00C259DA" w:rsidRPr="00C259DA" w:rsidRDefault="00C259DA" w:rsidP="00C259DA">
            <w:pPr>
              <w:spacing w:after="80"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b/>
                <w:bCs/>
                <w:color w:val="2F2F2F"/>
                <w:sz w:val="18"/>
                <w:szCs w:val="18"/>
                <w:lang w:eastAsia="es-ES"/>
              </w:rPr>
              <w:t>Procedimiento para determinar los años de cotización de los trabajadores afiliados al ISSSTE en el retiro de los recursos de la cuenta individual</w:t>
            </w:r>
          </w:p>
          <w:p w:rsidR="00C259DA" w:rsidRPr="00C259DA" w:rsidRDefault="00C259DA" w:rsidP="00C259DA">
            <w:pPr>
              <w:spacing w:after="80"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3.11.7.</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Para determinar los años de cotización a que se refiere el artículo 93, fracción XIII de la Ley del ISR, las administradoras de fondos para el retiro o PENSIONISSSTE, que entreguen al trabajador o a su(s) beneficiario(s) en una sola exhibición, recursos con cargo a la subcuenta de ahorro para el retiro (SAR ISSSTE) prevista en el artículo 90 BIS-C de la Ley del ISSSTE, vigente hasta el 31 de marzo de 2007, deberán utilizar la concesión o negativa de pensión emitida por el ISSSTE, o bien, la constancia que acredite que el trabajadorcuenta con una pensión derivada de un plan establecido por la Dependencia o Entidad. Cuando el trabajador adquiera el derecho a disfrutar de una pensión en los términos de la Ley del ISSSTE vigente hasta el 31 de marzo de 2007, se deberá utilizar la constancia emitida por la Dependencia o Entidad con la que se acredite el derecho, de conformidad con las disposiciones de carácter general que emita la CONSAR. En cualquier caso, eldocumento deberá indicar el número de años de cotización del trabajador.</w:t>
            </w:r>
          </w:p>
          <w:p w:rsidR="00C259DA" w:rsidRPr="00C259DA" w:rsidRDefault="00C259DA" w:rsidP="00C259DA">
            <w:pPr>
              <w:spacing w:after="80"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p>
          <w:p w:rsidR="00C259DA" w:rsidRPr="00C259DA" w:rsidRDefault="00C259DA" w:rsidP="00C259DA">
            <w:pPr>
              <w:spacing w:after="80"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lastRenderedPageBreak/>
              <w:t>                   </w:t>
            </w:r>
            <w:r w:rsidRPr="00C259DA">
              <w:rPr>
                <w:rFonts w:ascii="Arial" w:eastAsia="Times New Roman" w:hAnsi="Arial" w:cs="Arial"/>
                <w:color w:val="2F2F2F"/>
                <w:sz w:val="18"/>
                <w:szCs w:val="18"/>
                <w:lang w:eastAsia="es-ES"/>
              </w:rPr>
              <w:t>Para determinar el monto de los ingresos gravados, las administradoras de fondos para el retiro o PENSIONISSSTE disminuirán del total retirado de la subcuenta referida, la cantidad exenta determinada a partir de la información proporcionada por el trabajador o su(s) beneficiario(s), de acuerdo a lo establecido en los párrafos anteriores. El monto así obtenido se sujetará a lo dispuesto en el Capítulo IX del Título IV de la Ley del ISR. El trabajador o su(s) beneficiario(s), podrán optar porque las administradoras de fondos para el retiro oPENSIONISSSTE efectúen la retención del ISR en los términos de la regla 3.11.2., y tratándose de trabajadores que cuenten con una pensión derivada de un plan establecido por la Dependencia o Entidad, no autorizado ni registrado por la CONSAR, deberán cumplir con los requisitos que para tales efectos establezca dicha Comisión mediante disposiciones de carácter general.</w:t>
            </w:r>
          </w:p>
          <w:p w:rsidR="00C259DA" w:rsidRPr="00C259DA" w:rsidRDefault="00C259DA" w:rsidP="00C259DA">
            <w:pPr>
              <w:spacing w:after="80"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p>
          <w:p w:rsidR="00C259DA" w:rsidRPr="00C259DA" w:rsidRDefault="00C259DA" w:rsidP="00C259DA">
            <w:pPr>
              <w:spacing w:after="80"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eastAsia="es-ES"/>
              </w:rPr>
              <w:t>LISR 93, 142, 145, Ley del ISSSTE 1983 90 BIS-C, RLISR 147, 171, 173, RMF 2018 3.11.2.</w:t>
            </w:r>
          </w:p>
          <w:p w:rsidR="00C259DA" w:rsidRPr="00C259DA" w:rsidRDefault="00C259DA" w:rsidP="00C259DA">
            <w:pPr>
              <w:spacing w:after="80"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b/>
                <w:bCs/>
                <w:color w:val="2F2F2F"/>
                <w:sz w:val="18"/>
                <w:szCs w:val="18"/>
                <w:lang w:eastAsia="es-ES"/>
              </w:rPr>
              <w:t>Trámites que se presentan para liberar de la obligación de pagar erogaciones con transferencias electrónicas, cheque nominativo, tarjeta o monedero electrónico</w:t>
            </w:r>
          </w:p>
          <w:p w:rsidR="00C259DA" w:rsidRPr="00C259DA" w:rsidRDefault="00C259DA" w:rsidP="00C259DA">
            <w:pPr>
              <w:spacing w:after="80"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3.15.14.</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Para los efectos de los artículos 27, fracción III, tercer párrafo y 147, fracción IV, tercer párrafo de la Ley del ISR, así como 42 y 242 de su Reglamento, las personas físicas o morales que realicen erogaciones que se efectúen en poblaciones o zonas rurales, sin servicios financieros deberán solicitar la autorización correspondiente para quedar relevados de la obligación de realizar tales erogaciones a través de transferencias electrónicas, cheque nominativo, tarjeta o monedero electrónico en los términos señalados en la ficha de trámite 69/ISR "Solicitud de autorización para la liberación de la obligación de pagar erogaciones con transferencias electrónicas, cheque nominativo, tarjeta o monedero electrónico", contenida en el Anexo 1-A.</w:t>
            </w:r>
          </w:p>
          <w:p w:rsidR="00C259DA" w:rsidRPr="00C259DA" w:rsidRDefault="00C259DA" w:rsidP="00C259DA">
            <w:pPr>
              <w:spacing w:after="80"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Las personas físicas o morales que realicen erogaciones en poblaciones o zonas rurales, sin servicios financieros incluidas en el listado a que se refiere la regla 3.13.22., quedarán relevadas de solicitar la autorización indicada en el párrafo anterior, siempre que presenten aviso en términos de la ficha de trámite 126/ISR "Aviso para la liberación de la obligación de pagar erogaciones con transferencias electrónicas, cheque nominativo, tarjeta o monedero electrónico", contenida en el Anexo 1-A.</w:t>
            </w:r>
          </w:p>
          <w:p w:rsidR="00C259DA" w:rsidRPr="00C259DA" w:rsidRDefault="00C259DA" w:rsidP="00C259DA">
            <w:pPr>
              <w:spacing w:after="80"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eastAsia="es-ES"/>
              </w:rPr>
              <w:t>LISR 27, 147, RLISR 42, 242, RMF 2018 3.13.22.</w:t>
            </w:r>
          </w:p>
          <w:p w:rsidR="00C259DA" w:rsidRPr="00C259DA" w:rsidRDefault="00C259DA" w:rsidP="00C259DA">
            <w:pPr>
              <w:spacing w:after="80"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b/>
                <w:bCs/>
                <w:color w:val="2F2F2F"/>
                <w:sz w:val="18"/>
                <w:szCs w:val="18"/>
                <w:lang w:eastAsia="es-ES"/>
              </w:rPr>
              <w:t>Declaración anual vía telefónica</w:t>
            </w:r>
          </w:p>
          <w:p w:rsidR="00C259DA" w:rsidRPr="00C259DA" w:rsidRDefault="00C259DA" w:rsidP="00C259DA">
            <w:pPr>
              <w:spacing w:after="80"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3.17.13.</w:t>
            </w:r>
            <w:r w:rsidRPr="00C259DA">
              <w:rPr>
                <w:rFonts w:ascii="Arial" w:eastAsia="Times New Roman" w:hAnsi="Arial" w:cs="Arial"/>
                <w:color w:val="2F2F2F"/>
                <w:sz w:val="20"/>
                <w:szCs w:val="20"/>
                <w:lang w:eastAsia="es-ES"/>
              </w:rPr>
              <w:t>        </w:t>
            </w:r>
            <w:r w:rsidRPr="00C259DA">
              <w:rPr>
                <w:rFonts w:ascii="Arial" w:eastAsia="Times New Roman" w:hAnsi="Arial" w:cs="Arial"/>
                <w:b/>
                <w:bCs/>
                <w:color w:val="2F2F2F"/>
                <w:sz w:val="18"/>
                <w:szCs w:val="18"/>
                <w:lang w:eastAsia="es-ES"/>
              </w:rPr>
              <w:t>(Se deroga)</w:t>
            </w:r>
          </w:p>
          <w:p w:rsidR="00C259DA" w:rsidRPr="00C259DA" w:rsidRDefault="00C259DA" w:rsidP="00C259DA">
            <w:pPr>
              <w:spacing w:after="80"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b/>
                <w:bCs/>
                <w:color w:val="2F2F2F"/>
                <w:sz w:val="18"/>
                <w:szCs w:val="18"/>
                <w:lang w:eastAsia="es-ES"/>
              </w:rPr>
              <w:t>Opción para que los residentes en el extranjero que realicen operaciones de maquila a través de una empresa con programa IMMEX bajo la modalidad de albergue cumplan sus obligaciones fiscales a través de dicha empresa</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3.20.6.</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Para efectos de lo dispuesto en los artículos 2 y 183, último párrafo de la Ley del ISR, los residentes en el extranjero que realicen operaciones de maquila a través de una empresa con programa IMMEX bajo la modalidad de albergue podrán optar por cumplir sus obligaciones fiscales a través de la empresa con programa IMMEX bajo la modalidad de albergue, una vez que se haya agotado el periodo de permanencia establecido en el último párrafo del citado artículo 183, conforme a lo siguiente:</w:t>
            </w:r>
          </w:p>
          <w:p w:rsidR="00C259DA" w:rsidRPr="00C259DA" w:rsidRDefault="00C259DA" w:rsidP="00C259DA">
            <w:pPr>
              <w:spacing w:after="100"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color w:val="2F2F2F"/>
                <w:sz w:val="18"/>
                <w:szCs w:val="18"/>
                <w:lang w:eastAsia="es-ES"/>
              </w:rPr>
              <w:t> </w:t>
            </w:r>
          </w:p>
          <w:p w:rsidR="00C259DA" w:rsidRPr="00C259DA" w:rsidRDefault="00C259DA" w:rsidP="00C259DA">
            <w:pPr>
              <w:spacing w:after="100"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Los residentes en el extranjero, por conducto de la empresa con programa IMMEX bajo la modalidad de albergue con la que realicen operaciones de maquila, deberán cumplir con lo siguiente:</w:t>
            </w:r>
          </w:p>
          <w:p w:rsidR="00C259DA" w:rsidRPr="00C259DA" w:rsidRDefault="00C259DA" w:rsidP="00C259DA">
            <w:pPr>
              <w:spacing w:after="100"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a)</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Solicitar a las autoridades fiscales una clave en el RFC sin obligaciones fiscales, de conformidad con la ficha de trámite 43/CFF "Solicitud de inscripción en el RFC de personas morales en la ADSC", contenida en el Anexo 1-A.</w:t>
            </w:r>
          </w:p>
          <w:p w:rsidR="00C259DA" w:rsidRPr="00C259DA" w:rsidRDefault="00C259DA" w:rsidP="00C259DA">
            <w:pPr>
              <w:spacing w:after="100"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b)</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Presentar un aviso ante las autoridades fiscales en el que manifiesten que ejercen la opción a que se refiere la presente regla por un periodo máximo de cuatro ejercicios, contados a partir de la fecha en que hayan excedido el plazo de cuatro años a que se refiere el artículo 183, último párrafo de la Ley del ISR, de conformidad con la ficha de trámite 111/ISR "Aviso de los residentes en el extranjero en el que manifiesten su voluntad de optar por la facilidad administrativa establecida en la regla 3.20.6.", contenida en el Anexo 1-A.</w:t>
            </w:r>
          </w:p>
          <w:p w:rsidR="00C259DA" w:rsidRPr="00C259DA" w:rsidRDefault="00C259DA" w:rsidP="00C259DA">
            <w:pPr>
              <w:spacing w:after="100"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Para efectos del párrafo anterior, cuando el plazo establecido en el artículo 183, último párrafo de la Ley del ISR no coincida con el año calendario, los residentes en el extranjero deberán cumplir con sus obligaciones fiscales a partir del siguiente mes al que concluya el plazo antes señalado de conformidad con el artículo 11, primer párrafo del CFF.</w:t>
            </w:r>
          </w:p>
          <w:p w:rsidR="00C259DA" w:rsidRPr="00C259DA" w:rsidRDefault="00C259DA" w:rsidP="00C259DA">
            <w:pPr>
              <w:spacing w:after="100"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c)</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Presentar las declaraciones de pagos provisionales y declaración anual, de conformidad con lo dispuesto en la Ley de ISR. Tratándose de la primera vez que deban efectuar pagos provisionales mensuales estarán a lo dispuesto en la regla 3.20.8.</w:t>
            </w:r>
          </w:p>
          <w:p w:rsidR="00C259DA" w:rsidRPr="00C259DA" w:rsidRDefault="00C259DA" w:rsidP="00C259DA">
            <w:pPr>
              <w:spacing w:after="100"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d)</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Presentar declaración informativa anual en la que desglosen mensualmente el valor de los activos fijos, los inventarios de materias primas, productos semi-terminados y terminados, que sean de su propiedad, así como el monto de los costos y gastos en los que incurran y que sean inherentes a la operación de maquila, estimados de conformidad con lo señalado en lasfracciones I y II del artículo 182 de la Ley del ISR.</w:t>
            </w:r>
          </w:p>
          <w:p w:rsidR="00C259DA" w:rsidRPr="00C259DA" w:rsidRDefault="00C259DA" w:rsidP="00C259DA">
            <w:pPr>
              <w:spacing w:after="100"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Las empresas con programa IMMEX bajo la modalidad de albergue deberán cumplir, durante todo el plazo a que se refiere el inciso b) de la fracción I de la presente regla, con lo siguiente:</w:t>
            </w:r>
          </w:p>
          <w:p w:rsidR="00C259DA" w:rsidRPr="00C259DA" w:rsidRDefault="00C259DA" w:rsidP="00C259DA">
            <w:pPr>
              <w:spacing w:after="100"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a)</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Identificar las operaciones y determinar la utilidad fiscal que corresponda a cada uno de los residentes en el extranjero, conforme al monto mayor que resulte de comparar lo dispuesto en el artículo 182, fracciones I y II de la Ley del ISR o bien podrán obtener una resolución particular en términos del artículo 34-A del CFF para cada uno de sus clientes residentes en el extranjero que realicen actividad de maquila a través de la empresa con programa IMMEX bajo la modalidad de albergue a partir de la fecha en que hayan excedido el plazo de 4 años a que se refiere el artículo 183 de la Ley de ISR, para efectos de determinar y enterar el impuesto que resulte de aplicar a dicha utilidad la tasa que señala el artículo 9 de la citada Ley.</w:t>
            </w:r>
          </w:p>
          <w:p w:rsidR="00C259DA" w:rsidRPr="00C259DA" w:rsidRDefault="00C259DA" w:rsidP="00C259DA">
            <w:pPr>
              <w:spacing w:after="100"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 xml:space="preserve">Para efectos del párrafo anterior, en la determinación de la utilidad fiscal de cada uno de los residentes en el extranjero, </w:t>
            </w:r>
            <w:r w:rsidRPr="00C259DA">
              <w:rPr>
                <w:rFonts w:ascii="Arial" w:eastAsia="Times New Roman" w:hAnsi="Arial" w:cs="Arial"/>
                <w:color w:val="2F2F2F"/>
                <w:sz w:val="18"/>
                <w:szCs w:val="18"/>
                <w:lang w:eastAsia="es-ES"/>
              </w:rPr>
              <w:lastRenderedPageBreak/>
              <w:t>calculada conforme al artículo 182 de la Ley del ISR, se considerarán exclusivamente los activos fijos e inventarios de materia prima que son utilizados en la operación de maquila, así como los costos y gastos atribuibles a la operación de maquila en Méxicocorrespondientes a cada residente en el extranjero.</w:t>
            </w:r>
          </w:p>
          <w:p w:rsidR="00C259DA" w:rsidRPr="00C259DA" w:rsidRDefault="00C259DA" w:rsidP="00C259DA">
            <w:pPr>
              <w:spacing w:after="100"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b)</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Presentar en tiempo y forma la información que establezca la autoridad en la DIEMSE referente a las empresas albergadas.</w:t>
            </w:r>
          </w:p>
          <w:p w:rsidR="00C259DA" w:rsidRPr="00C259DA" w:rsidRDefault="00C259DA" w:rsidP="00C259DA">
            <w:pPr>
              <w:spacing w:after="100"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c)</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Mantener a disposición de las autoridades fiscales la documentación que acredite que la información de las empresas de residentes en el extranjero se encuentra debidamente identificada de forma individual por cada una de dichas empresas en la contabilidad de la empresa con programa IMMEX bajo la modalidad de albergue, durante el plazo establecido en el artículo 30 del</w:t>
            </w:r>
          </w:p>
          <w:p w:rsidR="00C259DA" w:rsidRPr="00C259DA" w:rsidRDefault="00C259DA" w:rsidP="00C259DA">
            <w:pPr>
              <w:spacing w:after="100" w:line="240" w:lineRule="auto"/>
              <w:jc w:val="both"/>
              <w:rPr>
                <w:rFonts w:ascii="Arial" w:eastAsia="Times New Roman" w:hAnsi="Arial" w:cs="Arial"/>
                <w:color w:val="2F2F2F"/>
                <w:sz w:val="18"/>
                <w:szCs w:val="18"/>
                <w:lang w:eastAsia="es-ES"/>
              </w:rPr>
            </w:pPr>
            <w:r w:rsidRPr="00C259DA">
              <w:rPr>
                <w:rFonts w:ascii="Arial" w:eastAsia="Times New Roman" w:hAnsi="Arial" w:cs="Arial"/>
                <w:color w:val="2F2F2F"/>
                <w:sz w:val="18"/>
                <w:szCs w:val="18"/>
                <w:lang w:eastAsia="es-ES"/>
              </w:rPr>
              <w:t>CFF, así como permitir la inspección de dichas autoridades, cuando éstas lo requieran, a efecto de verificar la correcta determinación del cálculo y entero de las contribuciones correspondientes a cada uno de los residentes en el extranjero.</w:t>
            </w:r>
          </w:p>
          <w:p w:rsidR="00C259DA" w:rsidRPr="00C259DA" w:rsidRDefault="00C259DA" w:rsidP="00C259DA">
            <w:pPr>
              <w:spacing w:after="100"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d)</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Contar con la certificación a que se refiere la regla 7.3.1. de las Reglas Generales de Comercio Exterior, bajo la modalidad más alta posible conforme a su antigüedad.</w:t>
            </w:r>
          </w:p>
          <w:p w:rsidR="00C259DA" w:rsidRPr="00C259DA" w:rsidRDefault="00C259DA" w:rsidP="00C259DA">
            <w:pPr>
              <w:spacing w:after="100"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e)</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Contar con la opinión positiva del cumplimiento de sus obligaciones fiscales a que refiere la regla 2.1.39., y hacerla pública, en términos de la regla 2.1.27.</w:t>
            </w:r>
          </w:p>
          <w:p w:rsidR="00C259DA" w:rsidRPr="00C259DA" w:rsidRDefault="00C259DA" w:rsidP="00C259DA">
            <w:pPr>
              <w:spacing w:after="100"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f)</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No encontrarse en los listados a que se refieren los artículos 69 y 69-B del CFF como consecuencia de haber actualizado los supuestos de las fracciones I, II, III y IV del artículo 69 del CFF.</w:t>
            </w:r>
          </w:p>
          <w:p w:rsidR="00C259DA" w:rsidRPr="00C259DA" w:rsidRDefault="00C259DA" w:rsidP="00C259DA">
            <w:pPr>
              <w:spacing w:after="100"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g)</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Participar en el programa de verificación en tiempo real a cargo de la AGGC del SAT.</w:t>
            </w:r>
          </w:p>
          <w:p w:rsidR="00C259DA" w:rsidRPr="00C259DA" w:rsidRDefault="00C259DA" w:rsidP="00C259DA">
            <w:pPr>
              <w:spacing w:after="100"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h)</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Manifestar expresamente su voluntad de asumir la responsabilidad solidaria en el cálculo y entero del impuesto determinado por cuenta del residente en el extranjero, de conformidad con la ficha de trámite 112/ISR "Aviso mediante el cual se asume voluntariamente la responsabilidad solidaria en el cálculo y entero del impuesto determinado por cuenta del residente en el extranjero",contenida en el Anexo 1-A, en términos del artículo 26, fracción VIII del CFF.</w:t>
            </w:r>
          </w:p>
          <w:p w:rsidR="00C259DA" w:rsidRPr="00C259DA" w:rsidRDefault="00C259DA" w:rsidP="00C259DA">
            <w:pPr>
              <w:spacing w:after="100"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Para ejercer la facilidad establecida en el primer párrafo de esta regla, la jurisdicción de donde sea residente fiscal el extranjero deberá tener en vigor un acuerdo amplio de intercambio de información con México, sin perjuicio del cumplimiento a los requisitos contenidos en el instrumento internacional aplicable.</w:t>
            </w:r>
          </w:p>
          <w:p w:rsidR="00C259DA" w:rsidRPr="00C259DA" w:rsidRDefault="00C259DA" w:rsidP="00C259DA">
            <w:pPr>
              <w:spacing w:after="100"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La facilidad establecida en el primer párrafo de esta regla no podrá ser ejercida por residentes en el extranjero que constituyan o que con anterioridad hayan constituido establecimiento permanente en el país ni por aquéllos que hayan estado albergados previamente en otra empresa con programa IMMEX bajo la modalidad de albergue y hayan concluido el plazo señalado en el inciso b) de la fracción I dela presente regla.</w:t>
            </w:r>
          </w:p>
          <w:p w:rsidR="00C259DA" w:rsidRPr="00C259DA" w:rsidRDefault="00C259DA" w:rsidP="00C259DA">
            <w:pPr>
              <w:spacing w:after="100"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En ningún caso se podrá transferir a la empresa con programa IMMEX bajo la modalidad de albergue, la maquinaria, equipo, herramientas, moldes y troqueles y otros activos fijos similares e inventarios, propiedad de sus clientes residente en el extranjero, de sus partes relacionadas extranjeras o clientes extranjeros, ni antes ni durante el periodo en el que aplique la facilidad establecida en el primer párrafo de la presente regla.</w:t>
            </w:r>
          </w:p>
          <w:p w:rsidR="00C259DA" w:rsidRPr="00C259DA" w:rsidRDefault="00C259DA" w:rsidP="00C259DA">
            <w:pPr>
              <w:spacing w:after="100"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La opción que otorga la presente regla será aplicable siempre que la empresa que opera el programa IMMEX bajo la modalidad de albergue, en ningún caso obtenga ingresos por la venta o distribución de productos manufacturados en México.</w:t>
            </w:r>
          </w:p>
          <w:p w:rsidR="00C259DA" w:rsidRPr="00C259DA" w:rsidRDefault="00C259DA" w:rsidP="00C259DA">
            <w:pPr>
              <w:spacing w:after="100"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Se tendrá por cancelada la facilidad establecida en el primer párrafo de esta regla cuando se incumpla con cualquier obligación fiscal que la empresa con programa IMMEX bajo la modalidad de albergue, deba cumplir por cuenta del residente en el extranjero. El cumplimiento de dichas obligaciones fiscales liberará al residente en el extranjero, respecto a las operaciones de maquila realizadas a través de una empresa con programa IMMEX bajo la modalidad de albergue, de cualquier obligación formal de registro y de presentación de declaraciones fiscales en México por el periodo señalado en el inciso b) de la fracción I de la presente regla.</w:t>
            </w:r>
          </w:p>
          <w:p w:rsidR="00C259DA" w:rsidRPr="00C259DA" w:rsidRDefault="00C259DA" w:rsidP="00C259DA">
            <w:pPr>
              <w:spacing w:after="100"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Los residentes en el extranjero que realicen actividad de maquila a través de una empresa con programa IMMEX bajo la modalidad de albergue que decidan dar por terminado el contrato que tienen celebrado con la referida empresa, podrán continuar el plazo que reste conforme a la fracción I, inciso b) de la presente regla, siempre que celebren un nuevo contrato con otra empresa con programa IMMEX bajo la modalidad de albergue y secumplan con los requisitos que se precisan en las fracciones I y II anteriores.</w:t>
            </w:r>
          </w:p>
          <w:p w:rsidR="00C259DA" w:rsidRPr="00C259DA" w:rsidRDefault="00C259DA" w:rsidP="00C259DA">
            <w:pPr>
              <w:spacing w:after="100"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En el caso de que los residentes en el extranjero den por terminado el contrato antes de que se cumplan los 4 ejercicios a que se refiere el inciso b) de la fracción I de esta regla y continúen realizando operaciones de maquila en territorio nacional, fuera de cualquier empresa con programa IMMEX bajo la modalidad de albergue, deberán continuar</w:t>
            </w:r>
          </w:p>
          <w:p w:rsidR="00C259DA" w:rsidRPr="00C259DA" w:rsidRDefault="00C259DA" w:rsidP="00C259DA">
            <w:pPr>
              <w:spacing w:after="100" w:line="240" w:lineRule="auto"/>
              <w:jc w:val="both"/>
              <w:rPr>
                <w:rFonts w:ascii="Arial" w:eastAsia="Times New Roman" w:hAnsi="Arial" w:cs="Arial"/>
                <w:color w:val="2F2F2F"/>
                <w:sz w:val="18"/>
                <w:szCs w:val="18"/>
                <w:lang w:eastAsia="es-ES"/>
              </w:rPr>
            </w:pPr>
            <w:r w:rsidRPr="00C259DA">
              <w:rPr>
                <w:rFonts w:ascii="Arial" w:eastAsia="Times New Roman" w:hAnsi="Arial" w:cs="Arial"/>
                <w:color w:val="2F2F2F"/>
                <w:sz w:val="18"/>
                <w:szCs w:val="18"/>
                <w:lang w:eastAsia="es-ES"/>
              </w:rPr>
              <w:t>presentando sus declaraciones de pagos provisionales y presentarán la declaración anual correspondiente, considerando todas sus operaciones del ejercicio, incluidas las que realizaron en el periodo en que estuvo vigente su contrato con alguna empresa con programa IMMEX bajo la modalidad de albergue. Asimismo deberán cumplir con todas sus obligaciones de carácter fiscal, de conformidad con el artículo 76 de la Ley del ISR.</w:t>
            </w:r>
          </w:p>
          <w:p w:rsidR="00C259DA" w:rsidRPr="00C259DA" w:rsidRDefault="00C259DA" w:rsidP="00C259DA">
            <w:pPr>
              <w:spacing w:after="100"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Cuando el residente en el extranjero haya obtenido una resolución particular en los términos del artículo 34-A del CFF,</w:t>
            </w:r>
            <w:r w:rsidRPr="00C259DA">
              <w:rPr>
                <w:rFonts w:ascii="Arial" w:eastAsia="Times New Roman" w:hAnsi="Arial" w:cs="Arial"/>
                <w:b/>
                <w:bCs/>
                <w:color w:val="2F2F2F"/>
                <w:sz w:val="18"/>
                <w:szCs w:val="18"/>
                <w:u w:val="single"/>
                <w:lang w:eastAsia="es-ES"/>
              </w:rPr>
              <w:t> </w:t>
            </w:r>
            <w:r w:rsidRPr="00C259DA">
              <w:rPr>
                <w:rFonts w:ascii="Arial" w:eastAsia="Times New Roman" w:hAnsi="Arial" w:cs="Arial"/>
                <w:color w:val="2F2F2F"/>
                <w:sz w:val="18"/>
                <w:szCs w:val="18"/>
                <w:lang w:eastAsia="es-ES"/>
              </w:rPr>
              <w:t>el</w:t>
            </w:r>
            <w:r w:rsidRPr="00C259DA">
              <w:rPr>
                <w:rFonts w:ascii="Arial" w:eastAsia="Times New Roman" w:hAnsi="Arial" w:cs="Arial"/>
                <w:b/>
                <w:bCs/>
                <w:color w:val="2F2F2F"/>
                <w:sz w:val="18"/>
                <w:szCs w:val="18"/>
                <w:u w:val="single"/>
                <w:lang w:eastAsia="es-ES"/>
              </w:rPr>
              <w:t> </w:t>
            </w:r>
            <w:r w:rsidRPr="00C259DA">
              <w:rPr>
                <w:rFonts w:ascii="Arial" w:eastAsia="Times New Roman" w:hAnsi="Arial" w:cs="Arial"/>
                <w:color w:val="2F2F2F"/>
                <w:sz w:val="18"/>
                <w:szCs w:val="18"/>
                <w:lang w:eastAsia="es-ES"/>
              </w:rPr>
              <w:t>residente en el extranjero y, en su caso, la empresa con programa IMMEX bajo la modalidad de albergue, con la que contrate estarán a lo dispuesto en dicha resolución por el periodo establecido en el propio CFF, siempre que se cumplan los requisitos establecidos en la citada resolución.</w:t>
            </w:r>
          </w:p>
          <w:p w:rsidR="00C259DA" w:rsidRPr="00C259DA" w:rsidRDefault="00C259DA" w:rsidP="00C259DA">
            <w:pPr>
              <w:spacing w:after="100"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 xml:space="preserve">En caso de que el contrato celebrado entre el residente en el extranjero y la empresa con programa IMMEX bajo la modalidad de albergue se dé por terminado antes de que se cumpla el periodo de cuatro ejercicios establecido en el inciso b) de la fracción I, de la presente regla y los residentes en el extranjero dejen de realizar operaciones en territorio nacional, deberán presentar por conducto de la empresa con programa IMMEX bajo lamodalidad de albergue, su declaración anual de conformidad con lo dispuesto en el artículo 76, fracción V, de la Ley de ISR, correspondiente al último ejercicio en el que </w:t>
            </w:r>
            <w:r w:rsidRPr="00C259DA">
              <w:rPr>
                <w:rFonts w:ascii="Arial" w:eastAsia="Times New Roman" w:hAnsi="Arial" w:cs="Arial"/>
                <w:color w:val="2F2F2F"/>
                <w:sz w:val="18"/>
                <w:szCs w:val="18"/>
                <w:lang w:eastAsia="es-ES"/>
              </w:rPr>
              <w:lastRenderedPageBreak/>
              <w:t>hayan realizado actividades de maquila a través de la empresa con programa IMMEX bajo la modalidad de albergue, dentro de los tres meses siguientes a la fecha en que concluya el contrato.</w:t>
            </w:r>
          </w:p>
          <w:p w:rsidR="00C259DA" w:rsidRPr="00C259DA" w:rsidRDefault="00C259DA" w:rsidP="00C259DA">
            <w:pPr>
              <w:spacing w:after="100"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eastAsia="es-ES"/>
              </w:rPr>
              <w:t>CFF 26, 30, 34-A, 69, 69-B, LISR 2, 9, 182, 183, RMF 2018 2.1.27., 2.1.39., 3.20.6., Reglas Generales de Comercio Exterior 2018 7.3.1.</w:t>
            </w:r>
          </w:p>
          <w:p w:rsidR="00C259DA" w:rsidRPr="00C259DA" w:rsidRDefault="00C259DA" w:rsidP="00C259DA">
            <w:pPr>
              <w:spacing w:after="100"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b/>
                <w:bCs/>
                <w:color w:val="2F2F2F"/>
                <w:sz w:val="18"/>
                <w:szCs w:val="18"/>
                <w:lang w:eastAsia="es-ES"/>
              </w:rPr>
              <w:t>Pagos provisionales que realizan por primera vez los residentes en el extranjero por conducto de una empresa con programa IMMEX bajo la modalidad de albergue</w:t>
            </w:r>
          </w:p>
          <w:p w:rsidR="00C259DA" w:rsidRPr="00C259DA" w:rsidRDefault="00C259DA" w:rsidP="00C259DA">
            <w:pPr>
              <w:spacing w:after="100"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3.20.8.</w:t>
            </w:r>
            <w:r w:rsidRPr="00C259DA">
              <w:rPr>
                <w:rFonts w:ascii="Arial" w:eastAsia="Times New Roman" w:hAnsi="Arial" w:cs="Arial"/>
                <w:color w:val="2F2F2F"/>
                <w:sz w:val="20"/>
                <w:szCs w:val="20"/>
                <w:lang w:eastAsia="es-ES"/>
              </w:rPr>
              <w:t>          .......................................................................................................................</w:t>
            </w:r>
          </w:p>
          <w:p w:rsidR="00C259DA" w:rsidRPr="00C259DA" w:rsidRDefault="00C259DA" w:rsidP="00C259DA">
            <w:pPr>
              <w:spacing w:after="100"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El primer pago provisional comprenderá el primero, el segundo y el tercer mes del ejercicio, sea regular o irregular, y se efectuará en la fecha en que deba realizarse el pago provisional correspondiente al tercer mes del ejercicio.</w:t>
            </w:r>
          </w:p>
          <w:p w:rsidR="00C259DA" w:rsidRPr="00C259DA" w:rsidRDefault="00C259DA" w:rsidP="00C259DA">
            <w:pPr>
              <w:spacing w:after="100"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Tratándose de ejercicios irregulares, únicamente se efectuarán pagos provisionales cuando el ejercicio sea por un periodo igual o mayor a tres meses.</w:t>
            </w:r>
          </w:p>
          <w:p w:rsidR="00C259DA" w:rsidRPr="00C259DA" w:rsidRDefault="00C259DA" w:rsidP="00C259DA">
            <w:pPr>
              <w:spacing w:after="100"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eastAsia="es-ES"/>
              </w:rPr>
              <w:t>LISR 14, 182, RMF 2018 3.20.6.</w:t>
            </w:r>
          </w:p>
          <w:p w:rsidR="00C259DA" w:rsidRPr="00C259DA" w:rsidRDefault="00C259DA" w:rsidP="00C259DA">
            <w:pPr>
              <w:spacing w:after="100"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b/>
                <w:bCs/>
                <w:color w:val="2F2F2F"/>
                <w:sz w:val="18"/>
                <w:szCs w:val="18"/>
                <w:lang w:eastAsia="es-ES"/>
              </w:rPr>
              <w:t>No retención de ISR por la distribución a fondos de inversión del resultado fiscal de fideicomisos dedicados a la adquisición o construcción de inmuebles</w:t>
            </w:r>
          </w:p>
          <w:p w:rsidR="00C259DA" w:rsidRPr="00C259DA" w:rsidRDefault="00C259DA" w:rsidP="00C259DA">
            <w:pPr>
              <w:spacing w:after="100"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3.21.3.10.</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Para efectos del artículo 188, fracción IV de la Ley del ISR, las instituciones del sistema financiero que efectúen pagos por la distribución del resultado fiscal de los fideicomisos referidos en el artículo 187 de la Ley del ISR, podrán no efectuar la retención del ISR causado por las distribuciones de dicho resultado a los fondos de inversión de renta variable, siempre que dichos fondos calculen, retengan y enteren el ISR correspondiente alos integrantes o accionistas de los citados fondos de inversión de conformidad con lo establecido en el artículo 87, noveno párrafo de la Ley del ISR y la regla 3.10.29., en el momento en que el fondo efectivamente perciba los ingresos por la distribución del resultado fiscal de los fideicomisos.</w:t>
            </w:r>
          </w:p>
          <w:p w:rsidR="00C259DA" w:rsidRPr="00C259DA" w:rsidRDefault="00C259DA" w:rsidP="00C259DA">
            <w:pPr>
              <w:spacing w:after="100"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Para efectos del párrafo anterior, los fondos de inversión de renta variable deberán informar a dichas instituciones del sistema financiero que llevarán a cabo el cálculo, retención y entero del ISR correspondiente.</w:t>
            </w:r>
          </w:p>
          <w:p w:rsidR="00C259DA" w:rsidRPr="00C259DA" w:rsidRDefault="00C259DA" w:rsidP="00C259DA">
            <w:pPr>
              <w:spacing w:after="100"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eastAsia="es-ES"/>
              </w:rPr>
              <w:t>LISR 87, 187, 188, RMF 2018 3.10.29.</w:t>
            </w:r>
          </w:p>
          <w:p w:rsidR="00C259DA" w:rsidRPr="00C259DA" w:rsidRDefault="00C259DA" w:rsidP="00C259DA">
            <w:pPr>
              <w:spacing w:after="100"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b/>
                <w:bCs/>
                <w:color w:val="2F2F2F"/>
                <w:sz w:val="18"/>
                <w:szCs w:val="18"/>
                <w:lang w:eastAsia="es-ES"/>
              </w:rPr>
              <w:t>Valor de la contraprestación en la transmisión de activos y pasivos resultantes de una orden proveniente de una autoridad federal</w:t>
            </w:r>
          </w:p>
          <w:p w:rsidR="00C259DA" w:rsidRPr="00C259DA" w:rsidRDefault="00C259DA" w:rsidP="00C259DA">
            <w:pPr>
              <w:spacing w:after="100"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4.2.7.</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Para efectos del artículo 34 de la Ley del IVA, cuando una persona moral reciba como contraprestación acciones como consecuencia de la enajenación de activos de conformidad con la regla 3.1.20., se considerará como el valor de la contraprestación, el valor fiscal referido en dicha regla.</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eastAsia="es-ES"/>
              </w:rPr>
              <w:t>LIVA 34, RMF 2018 3.1.20.</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18"/>
                <w:szCs w:val="18"/>
                <w:lang w:eastAsia="es-ES"/>
              </w:rPr>
              <w:t> </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b/>
                <w:bCs/>
                <w:color w:val="2F2F2F"/>
                <w:sz w:val="18"/>
                <w:szCs w:val="18"/>
                <w:lang w:eastAsia="es-ES"/>
              </w:rPr>
              <w:t>Procedimiento para la solicitud y entrega de marbetes o precintos</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5.2.8.</w:t>
            </w:r>
            <w:r w:rsidRPr="00C259DA">
              <w:rPr>
                <w:rFonts w:ascii="Arial" w:eastAsia="Times New Roman" w:hAnsi="Arial" w:cs="Arial"/>
                <w:color w:val="2F2F2F"/>
                <w:sz w:val="20"/>
                <w:szCs w:val="20"/>
                <w:lang w:eastAsia="es-ES"/>
              </w:rPr>
              <w:t>           .......................................................................................................................</w:t>
            </w:r>
          </w:p>
          <w:tbl>
            <w:tblPr>
              <w:tblW w:w="0" w:type="auto"/>
              <w:tblInd w:w="1420" w:type="dxa"/>
              <w:tblCellMar>
                <w:top w:w="15" w:type="dxa"/>
                <w:left w:w="15" w:type="dxa"/>
                <w:bottom w:w="15" w:type="dxa"/>
                <w:right w:w="15" w:type="dxa"/>
              </w:tblCellMar>
              <w:tblLook w:val="04A0"/>
            </w:tblPr>
            <w:tblGrid>
              <w:gridCol w:w="3261"/>
              <w:gridCol w:w="3827"/>
            </w:tblGrid>
            <w:tr w:rsidR="00C259DA" w:rsidRPr="00C259DA" w:rsidTr="00C259DA">
              <w:trPr>
                <w:trHeight w:val="764"/>
              </w:trPr>
              <w:tc>
                <w:tcPr>
                  <w:tcW w:w="3261" w:type="dxa"/>
                  <w:tcBorders>
                    <w:top w:val="single" w:sz="6" w:space="0" w:color="000000"/>
                    <w:left w:val="single" w:sz="6" w:space="0" w:color="000000"/>
                    <w:bottom w:val="single" w:sz="6" w:space="0" w:color="000000"/>
                    <w:right w:val="single" w:sz="6" w:space="0" w:color="000000"/>
                  </w:tcBorders>
                  <w:shd w:val="clear" w:color="auto" w:fill="C0C0C0"/>
                  <w:tcMar>
                    <w:top w:w="0" w:type="dxa"/>
                    <w:left w:w="70" w:type="dxa"/>
                    <w:bottom w:w="0" w:type="dxa"/>
                    <w:right w:w="70" w:type="dxa"/>
                  </w:tcMar>
                  <w:hideMark/>
                </w:tcPr>
                <w:p w:rsidR="00C259DA" w:rsidRPr="00C259DA" w:rsidRDefault="00C259DA" w:rsidP="00C259DA">
                  <w:pPr>
                    <w:spacing w:after="101"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b/>
                      <w:bCs/>
                      <w:color w:val="000000"/>
                      <w:sz w:val="18"/>
                      <w:szCs w:val="18"/>
                      <w:lang w:eastAsia="es-ES"/>
                    </w:rPr>
                    <w:t>Contribuyentes con domicilio fiscalen la circunscripción territorial de laADSC de:</w:t>
                  </w:r>
                </w:p>
              </w:tc>
              <w:tc>
                <w:tcPr>
                  <w:tcW w:w="3827" w:type="dxa"/>
                  <w:tcBorders>
                    <w:top w:val="single" w:sz="6" w:space="0" w:color="000000"/>
                    <w:left w:val="single" w:sz="6" w:space="0" w:color="000000"/>
                    <w:bottom w:val="single" w:sz="6" w:space="0" w:color="000000"/>
                    <w:right w:val="single" w:sz="6" w:space="0" w:color="000000"/>
                  </w:tcBorders>
                  <w:shd w:val="clear" w:color="auto" w:fill="C0C0C0"/>
                  <w:tcMar>
                    <w:top w:w="0" w:type="dxa"/>
                    <w:left w:w="70" w:type="dxa"/>
                    <w:bottom w:w="0" w:type="dxa"/>
                    <w:right w:w="70" w:type="dxa"/>
                  </w:tcMar>
                  <w:hideMark/>
                </w:tcPr>
                <w:p w:rsidR="00C259DA" w:rsidRPr="00C259DA" w:rsidRDefault="00C259DA" w:rsidP="00C259DA">
                  <w:pPr>
                    <w:spacing w:after="101"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b/>
                      <w:bCs/>
                      <w:color w:val="000000"/>
                      <w:sz w:val="18"/>
                      <w:szCs w:val="18"/>
                      <w:lang w:eastAsia="es-ES"/>
                    </w:rPr>
                    <w:t>Lugar de entrega de formas numeradas</w:t>
                  </w:r>
                </w:p>
              </w:tc>
            </w:tr>
            <w:tr w:rsidR="00C259DA" w:rsidRPr="00C259DA" w:rsidTr="00C259DA">
              <w:trPr>
                <w:trHeight w:val="317"/>
              </w:trPr>
              <w:tc>
                <w:tcPr>
                  <w:tcW w:w="3261" w:type="dxa"/>
                  <w:tcBorders>
                    <w:top w:val="single" w:sz="6" w:space="0" w:color="000000"/>
                    <w:left w:val="single" w:sz="6" w:space="0" w:color="000000"/>
                    <w:bottom w:val="single" w:sz="6" w:space="0" w:color="000000"/>
                    <w:right w:val="single" w:sz="6" w:space="0" w:color="000000"/>
                  </w:tcBorders>
                  <w:tcMar>
                    <w:top w:w="0" w:type="dxa"/>
                    <w:left w:w="70" w:type="dxa"/>
                    <w:bottom w:w="0" w:type="dxa"/>
                    <w:right w:w="70" w:type="dxa"/>
                  </w:tcMar>
                  <w:hideMark/>
                </w:tcPr>
                <w:p w:rsidR="00C259DA" w:rsidRPr="00C259DA" w:rsidRDefault="00C259DA" w:rsidP="00C259DA">
                  <w:pPr>
                    <w:spacing w:after="101"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w:t>
                  </w:r>
                </w:p>
              </w:tc>
              <w:tc>
                <w:tcPr>
                  <w:tcW w:w="3827" w:type="dxa"/>
                  <w:tcBorders>
                    <w:top w:val="single" w:sz="6" w:space="0" w:color="000000"/>
                    <w:left w:val="single" w:sz="6" w:space="0" w:color="000000"/>
                    <w:bottom w:val="single" w:sz="6" w:space="0" w:color="000000"/>
                    <w:right w:val="single" w:sz="6" w:space="0" w:color="000000"/>
                  </w:tcBorders>
                  <w:tcMar>
                    <w:top w:w="0" w:type="dxa"/>
                    <w:left w:w="70" w:type="dxa"/>
                    <w:bottom w:w="0" w:type="dxa"/>
                    <w:right w:w="70" w:type="dxa"/>
                  </w:tcMar>
                  <w:hideMark/>
                </w:tcPr>
                <w:p w:rsidR="00C259DA" w:rsidRPr="00C259DA" w:rsidRDefault="00C259DA" w:rsidP="00C259DA">
                  <w:pPr>
                    <w:spacing w:after="101"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w:t>
                  </w:r>
                </w:p>
              </w:tc>
            </w:tr>
            <w:tr w:rsidR="00C259DA" w:rsidRPr="00C259DA" w:rsidTr="00C259DA">
              <w:trPr>
                <w:trHeight w:val="4199"/>
              </w:trPr>
              <w:tc>
                <w:tcPr>
                  <w:tcW w:w="3261" w:type="dxa"/>
                  <w:tcBorders>
                    <w:top w:val="single" w:sz="6" w:space="0" w:color="000000"/>
                    <w:left w:val="single" w:sz="6" w:space="0" w:color="000000"/>
                    <w:bottom w:val="single" w:sz="6" w:space="0" w:color="000000"/>
                    <w:right w:val="single" w:sz="6" w:space="0" w:color="000000"/>
                  </w:tcBorders>
                  <w:tcMar>
                    <w:top w:w="0" w:type="dxa"/>
                    <w:left w:w="70" w:type="dxa"/>
                    <w:bottom w:w="0" w:type="dxa"/>
                    <w:right w:w="70" w:type="dxa"/>
                  </w:tcMar>
                  <w:hideMark/>
                </w:tcPr>
                <w:p w:rsidR="00C259DA" w:rsidRPr="00C259DA" w:rsidRDefault="00C259DA" w:rsidP="00C259DA">
                  <w:pPr>
                    <w:spacing w:after="101"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Jalisco "1"</w:t>
                  </w:r>
                </w:p>
                <w:p w:rsidR="00C259DA" w:rsidRPr="00C259DA" w:rsidRDefault="00C259DA" w:rsidP="00C259DA">
                  <w:pPr>
                    <w:spacing w:after="101"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Jalisco "2"</w:t>
                  </w:r>
                </w:p>
                <w:p w:rsidR="00C259DA" w:rsidRPr="00C259DA" w:rsidRDefault="00C259DA" w:rsidP="00C259DA">
                  <w:pPr>
                    <w:spacing w:after="101"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Jalisco "4"</w:t>
                  </w:r>
                </w:p>
                <w:p w:rsidR="00C259DA" w:rsidRPr="00C259DA" w:rsidRDefault="00C259DA" w:rsidP="00C259DA">
                  <w:pPr>
                    <w:spacing w:after="101"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Jalisco "3"</w:t>
                  </w:r>
                </w:p>
                <w:p w:rsidR="00C259DA" w:rsidRPr="00C259DA" w:rsidRDefault="00C259DA" w:rsidP="00C259DA">
                  <w:pPr>
                    <w:spacing w:after="101"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Jalisco "5"</w:t>
                  </w:r>
                </w:p>
                <w:p w:rsidR="00C259DA" w:rsidRPr="00C259DA" w:rsidRDefault="00C259DA" w:rsidP="00C259DA">
                  <w:pPr>
                    <w:spacing w:after="101"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Colima "1"</w:t>
                  </w:r>
                </w:p>
                <w:p w:rsidR="00C259DA" w:rsidRPr="00C259DA" w:rsidRDefault="00C259DA" w:rsidP="00C259DA">
                  <w:pPr>
                    <w:spacing w:after="101"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Nayarit "1"</w:t>
                  </w:r>
                </w:p>
                <w:p w:rsidR="00C259DA" w:rsidRPr="00C259DA" w:rsidRDefault="00C259DA" w:rsidP="00C259DA">
                  <w:pPr>
                    <w:spacing w:after="101"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Aguascalientes "1"</w:t>
                  </w:r>
                </w:p>
                <w:p w:rsidR="00C259DA" w:rsidRPr="00C259DA" w:rsidRDefault="00C259DA" w:rsidP="00C259DA">
                  <w:pPr>
                    <w:spacing w:after="101"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Zacatecas "1"</w:t>
                  </w:r>
                </w:p>
                <w:p w:rsidR="00C259DA" w:rsidRPr="00C259DA" w:rsidRDefault="00C259DA" w:rsidP="00C259DA">
                  <w:pPr>
                    <w:spacing w:after="101"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Guanajuato "2"</w:t>
                  </w:r>
                </w:p>
                <w:p w:rsidR="00C259DA" w:rsidRPr="00C259DA" w:rsidRDefault="00C259DA" w:rsidP="00C259DA">
                  <w:pPr>
                    <w:spacing w:after="101"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Michoacán "2"</w:t>
                  </w:r>
                </w:p>
                <w:p w:rsidR="00C259DA" w:rsidRPr="00C259DA" w:rsidRDefault="00C259DA" w:rsidP="00C259DA">
                  <w:pPr>
                    <w:spacing w:after="101"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Michoacán "1"</w:t>
                  </w:r>
                </w:p>
                <w:p w:rsidR="00C259DA" w:rsidRPr="00C259DA" w:rsidRDefault="00C259DA" w:rsidP="00C259DA">
                  <w:pPr>
                    <w:spacing w:after="101"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San Luis Potosí "1"</w:t>
                  </w:r>
                </w:p>
              </w:tc>
              <w:tc>
                <w:tcPr>
                  <w:tcW w:w="3827" w:type="dxa"/>
                  <w:tcBorders>
                    <w:top w:val="single" w:sz="6" w:space="0" w:color="000000"/>
                    <w:left w:val="single" w:sz="6" w:space="0" w:color="000000"/>
                    <w:bottom w:val="single" w:sz="6" w:space="0" w:color="000000"/>
                    <w:right w:val="single" w:sz="6" w:space="0" w:color="000000"/>
                  </w:tcBorders>
                  <w:tcMar>
                    <w:top w:w="0" w:type="dxa"/>
                    <w:left w:w="70" w:type="dxa"/>
                    <w:bottom w:w="0" w:type="dxa"/>
                    <w:right w:w="70" w:type="dxa"/>
                  </w:tcMar>
                  <w:hideMark/>
                </w:tcPr>
                <w:p w:rsidR="00C259DA" w:rsidRPr="00C259DA" w:rsidRDefault="00C259DA" w:rsidP="00C259DA">
                  <w:pPr>
                    <w:spacing w:after="101"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ADSC de Jalisco "1".</w:t>
                  </w:r>
                </w:p>
                <w:p w:rsidR="00C259DA" w:rsidRPr="00C259DA" w:rsidRDefault="00C259DA" w:rsidP="00C259DA">
                  <w:pPr>
                    <w:spacing w:after="101"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Av. De las Américas 833, P.B., entre Florencia y Colomos, Col. Jesús García, C.P.44656, Guadalajara, Jal.</w:t>
                  </w:r>
                </w:p>
              </w:tc>
            </w:tr>
            <w:tr w:rsidR="00C259DA" w:rsidRPr="00C259DA" w:rsidTr="00C259DA">
              <w:trPr>
                <w:trHeight w:val="317"/>
              </w:trPr>
              <w:tc>
                <w:tcPr>
                  <w:tcW w:w="3261" w:type="dxa"/>
                  <w:tcBorders>
                    <w:top w:val="single" w:sz="6" w:space="0" w:color="000000"/>
                    <w:left w:val="single" w:sz="6" w:space="0" w:color="000000"/>
                    <w:bottom w:val="single" w:sz="6" w:space="0" w:color="000000"/>
                    <w:right w:val="single" w:sz="6" w:space="0" w:color="000000"/>
                  </w:tcBorders>
                  <w:tcMar>
                    <w:top w:w="0" w:type="dxa"/>
                    <w:left w:w="70" w:type="dxa"/>
                    <w:bottom w:w="0" w:type="dxa"/>
                    <w:right w:w="70" w:type="dxa"/>
                  </w:tcMar>
                  <w:hideMark/>
                </w:tcPr>
                <w:p w:rsidR="00C259DA" w:rsidRPr="00C259DA" w:rsidRDefault="00C259DA" w:rsidP="00C259DA">
                  <w:pPr>
                    <w:spacing w:after="101"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w:t>
                  </w:r>
                </w:p>
              </w:tc>
              <w:tc>
                <w:tcPr>
                  <w:tcW w:w="3827" w:type="dxa"/>
                  <w:tcBorders>
                    <w:top w:val="single" w:sz="6" w:space="0" w:color="000000"/>
                    <w:left w:val="single" w:sz="6" w:space="0" w:color="000000"/>
                    <w:bottom w:val="single" w:sz="6" w:space="0" w:color="000000"/>
                    <w:right w:val="single" w:sz="6" w:space="0" w:color="000000"/>
                  </w:tcBorders>
                  <w:tcMar>
                    <w:top w:w="0" w:type="dxa"/>
                    <w:left w:w="70" w:type="dxa"/>
                    <w:bottom w:w="0" w:type="dxa"/>
                    <w:right w:w="70" w:type="dxa"/>
                  </w:tcMar>
                  <w:hideMark/>
                </w:tcPr>
                <w:p w:rsidR="00C259DA" w:rsidRPr="00C259DA" w:rsidRDefault="00C259DA" w:rsidP="00C259DA">
                  <w:pPr>
                    <w:spacing w:after="101"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w:t>
                  </w:r>
                </w:p>
              </w:tc>
            </w:tr>
            <w:tr w:rsidR="00C259DA" w:rsidRPr="00C259DA" w:rsidTr="00C259DA">
              <w:trPr>
                <w:trHeight w:val="1066"/>
              </w:trPr>
              <w:tc>
                <w:tcPr>
                  <w:tcW w:w="3261" w:type="dxa"/>
                  <w:tcBorders>
                    <w:top w:val="single" w:sz="6" w:space="0" w:color="000000"/>
                    <w:left w:val="single" w:sz="6" w:space="0" w:color="000000"/>
                    <w:bottom w:val="single" w:sz="6" w:space="0" w:color="000000"/>
                    <w:right w:val="single" w:sz="6" w:space="0" w:color="000000"/>
                  </w:tcBorders>
                  <w:tcMar>
                    <w:top w:w="0" w:type="dxa"/>
                    <w:left w:w="70" w:type="dxa"/>
                    <w:bottom w:w="0" w:type="dxa"/>
                    <w:right w:w="70" w:type="dxa"/>
                  </w:tcMar>
                  <w:hideMark/>
                </w:tcPr>
                <w:p w:rsidR="00C259DA" w:rsidRPr="00C259DA" w:rsidRDefault="00C259DA" w:rsidP="00C259DA">
                  <w:pPr>
                    <w:spacing w:after="101"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lastRenderedPageBreak/>
                    <w:t>Baja California "2"</w:t>
                  </w:r>
                </w:p>
                <w:p w:rsidR="00C259DA" w:rsidRPr="00C259DA" w:rsidRDefault="00C259DA" w:rsidP="00C259DA">
                  <w:pPr>
                    <w:spacing w:after="101"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Baja California "1"</w:t>
                  </w:r>
                </w:p>
              </w:tc>
              <w:tc>
                <w:tcPr>
                  <w:tcW w:w="3827" w:type="dxa"/>
                  <w:tcBorders>
                    <w:top w:val="single" w:sz="6" w:space="0" w:color="000000"/>
                    <w:left w:val="single" w:sz="6" w:space="0" w:color="000000"/>
                    <w:bottom w:val="single" w:sz="6" w:space="0" w:color="000000"/>
                    <w:right w:val="single" w:sz="6" w:space="0" w:color="000000"/>
                  </w:tcBorders>
                  <w:tcMar>
                    <w:top w:w="0" w:type="dxa"/>
                    <w:left w:w="70" w:type="dxa"/>
                    <w:bottom w:w="0" w:type="dxa"/>
                    <w:right w:w="70" w:type="dxa"/>
                  </w:tcMar>
                  <w:hideMark/>
                </w:tcPr>
                <w:p w:rsidR="00C259DA" w:rsidRPr="00C259DA" w:rsidRDefault="00C259DA" w:rsidP="00C259DA">
                  <w:pPr>
                    <w:spacing w:after="101"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ADSC de Baja California "2".</w:t>
                  </w:r>
                </w:p>
                <w:p w:rsidR="00C259DA" w:rsidRPr="00C259DA" w:rsidRDefault="00C259DA" w:rsidP="00C259DA">
                  <w:pPr>
                    <w:spacing w:after="101"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Fuerza Aérea Mexicana s/n, Col. Centro-Urbano 70-76, C.P. 22410, Tijuana, BajaCalifornia.</w:t>
                  </w:r>
                </w:p>
              </w:tc>
            </w:tr>
            <w:tr w:rsidR="00C259DA" w:rsidRPr="00C259DA" w:rsidTr="00C259DA">
              <w:trPr>
                <w:trHeight w:val="1066"/>
              </w:trPr>
              <w:tc>
                <w:tcPr>
                  <w:tcW w:w="3261" w:type="dxa"/>
                  <w:tcBorders>
                    <w:top w:val="single" w:sz="6" w:space="0" w:color="000000"/>
                    <w:left w:val="single" w:sz="6" w:space="0" w:color="000000"/>
                    <w:bottom w:val="single" w:sz="6" w:space="0" w:color="000000"/>
                    <w:right w:val="single" w:sz="6" w:space="0" w:color="000000"/>
                  </w:tcBorders>
                  <w:tcMar>
                    <w:top w:w="0" w:type="dxa"/>
                    <w:left w:w="70" w:type="dxa"/>
                    <w:bottom w:w="0" w:type="dxa"/>
                    <w:right w:w="70" w:type="dxa"/>
                  </w:tcMar>
                  <w:hideMark/>
                </w:tcPr>
                <w:p w:rsidR="00C259DA" w:rsidRPr="00C259DA" w:rsidRDefault="00C259DA" w:rsidP="00C259DA">
                  <w:pPr>
                    <w:spacing w:after="101"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Baja California "3"</w:t>
                  </w:r>
                </w:p>
              </w:tc>
              <w:tc>
                <w:tcPr>
                  <w:tcW w:w="3827" w:type="dxa"/>
                  <w:tcBorders>
                    <w:top w:val="single" w:sz="6" w:space="0" w:color="000000"/>
                    <w:left w:val="single" w:sz="6" w:space="0" w:color="000000"/>
                    <w:bottom w:val="single" w:sz="6" w:space="0" w:color="000000"/>
                    <w:right w:val="single" w:sz="6" w:space="0" w:color="000000"/>
                  </w:tcBorders>
                  <w:tcMar>
                    <w:top w:w="0" w:type="dxa"/>
                    <w:left w:w="70" w:type="dxa"/>
                    <w:bottom w:w="0" w:type="dxa"/>
                    <w:right w:w="70" w:type="dxa"/>
                  </w:tcMar>
                  <w:hideMark/>
                </w:tcPr>
                <w:p w:rsidR="00C259DA" w:rsidRPr="00C259DA" w:rsidRDefault="00C259DA" w:rsidP="00C259DA">
                  <w:pPr>
                    <w:spacing w:after="101"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ADSC de Baja California "3".</w:t>
                  </w:r>
                </w:p>
                <w:p w:rsidR="00C259DA" w:rsidRPr="00C259DA" w:rsidRDefault="00C259DA" w:rsidP="00C259DA">
                  <w:pPr>
                    <w:spacing w:after="101"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Av. López Mateos núm. 1306, local 18, edif.PRONAF, entre Av. Espinoza y Mar, Col.Centro, 22800, Ensenada Baja California.</w:t>
                  </w:r>
                </w:p>
              </w:tc>
            </w:tr>
            <w:tr w:rsidR="00C259DA" w:rsidRPr="00C259DA" w:rsidTr="00C259DA">
              <w:trPr>
                <w:trHeight w:val="317"/>
              </w:trPr>
              <w:tc>
                <w:tcPr>
                  <w:tcW w:w="3261" w:type="dxa"/>
                  <w:tcBorders>
                    <w:top w:val="single" w:sz="6" w:space="0" w:color="000000"/>
                    <w:left w:val="single" w:sz="6" w:space="0" w:color="000000"/>
                    <w:bottom w:val="single" w:sz="6" w:space="0" w:color="000000"/>
                    <w:right w:val="single" w:sz="6" w:space="0" w:color="000000"/>
                  </w:tcBorders>
                  <w:tcMar>
                    <w:top w:w="0" w:type="dxa"/>
                    <w:left w:w="70" w:type="dxa"/>
                    <w:bottom w:w="0" w:type="dxa"/>
                    <w:right w:w="70" w:type="dxa"/>
                  </w:tcMar>
                  <w:hideMark/>
                </w:tcPr>
                <w:p w:rsidR="00C259DA" w:rsidRPr="00C259DA" w:rsidRDefault="00C259DA" w:rsidP="00C259DA">
                  <w:pPr>
                    <w:spacing w:after="101"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w:t>
                  </w:r>
                </w:p>
              </w:tc>
              <w:tc>
                <w:tcPr>
                  <w:tcW w:w="3827" w:type="dxa"/>
                  <w:tcBorders>
                    <w:top w:val="single" w:sz="6" w:space="0" w:color="000000"/>
                    <w:left w:val="single" w:sz="6" w:space="0" w:color="000000"/>
                    <w:bottom w:val="single" w:sz="6" w:space="0" w:color="000000"/>
                    <w:right w:val="single" w:sz="6" w:space="0" w:color="000000"/>
                  </w:tcBorders>
                  <w:tcMar>
                    <w:top w:w="0" w:type="dxa"/>
                    <w:left w:w="70" w:type="dxa"/>
                    <w:bottom w:w="0" w:type="dxa"/>
                    <w:right w:w="70" w:type="dxa"/>
                  </w:tcMar>
                  <w:hideMark/>
                </w:tcPr>
                <w:p w:rsidR="00C259DA" w:rsidRPr="00C259DA" w:rsidRDefault="00C259DA" w:rsidP="00C259DA">
                  <w:pPr>
                    <w:spacing w:after="101"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w:t>
                  </w:r>
                </w:p>
              </w:tc>
            </w:tr>
            <w:tr w:rsidR="00C259DA" w:rsidRPr="00C259DA" w:rsidTr="00C259DA">
              <w:trPr>
                <w:trHeight w:val="1066"/>
              </w:trPr>
              <w:tc>
                <w:tcPr>
                  <w:tcW w:w="3261" w:type="dxa"/>
                  <w:tcBorders>
                    <w:top w:val="single" w:sz="6" w:space="0" w:color="000000"/>
                    <w:left w:val="single" w:sz="6" w:space="0" w:color="000000"/>
                    <w:bottom w:val="single" w:sz="6" w:space="0" w:color="000000"/>
                    <w:right w:val="single" w:sz="6" w:space="0" w:color="000000"/>
                  </w:tcBorders>
                  <w:tcMar>
                    <w:top w:w="0" w:type="dxa"/>
                    <w:left w:w="70" w:type="dxa"/>
                    <w:bottom w:w="0" w:type="dxa"/>
                    <w:right w:w="70" w:type="dxa"/>
                  </w:tcMar>
                  <w:hideMark/>
                </w:tcPr>
                <w:p w:rsidR="00C259DA" w:rsidRPr="00C259DA" w:rsidRDefault="00C259DA" w:rsidP="00C259DA">
                  <w:pPr>
                    <w:spacing w:after="101"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Chihuahua "1"</w:t>
                  </w:r>
                </w:p>
                <w:p w:rsidR="00C259DA" w:rsidRPr="00C259DA" w:rsidRDefault="00C259DA" w:rsidP="00C259DA">
                  <w:pPr>
                    <w:spacing w:after="101"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Coahuila de Zaragoza "2"</w:t>
                  </w:r>
                </w:p>
                <w:p w:rsidR="00C259DA" w:rsidRPr="00C259DA" w:rsidRDefault="00C259DA" w:rsidP="00C259DA">
                  <w:pPr>
                    <w:spacing w:after="101"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Chihuahua "2"</w:t>
                  </w:r>
                </w:p>
              </w:tc>
              <w:tc>
                <w:tcPr>
                  <w:tcW w:w="3827" w:type="dxa"/>
                  <w:tcBorders>
                    <w:top w:val="single" w:sz="6" w:space="0" w:color="000000"/>
                    <w:left w:val="single" w:sz="6" w:space="0" w:color="000000"/>
                    <w:bottom w:val="single" w:sz="6" w:space="0" w:color="000000"/>
                    <w:right w:val="single" w:sz="6" w:space="0" w:color="000000"/>
                  </w:tcBorders>
                  <w:tcMar>
                    <w:top w:w="0" w:type="dxa"/>
                    <w:left w:w="70" w:type="dxa"/>
                    <w:bottom w:w="0" w:type="dxa"/>
                    <w:right w:w="70" w:type="dxa"/>
                  </w:tcMar>
                  <w:hideMark/>
                </w:tcPr>
                <w:p w:rsidR="00C259DA" w:rsidRPr="00C259DA" w:rsidRDefault="00C259DA" w:rsidP="00C259DA">
                  <w:pPr>
                    <w:spacing w:after="101"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ADSC de Chihuahua "1".</w:t>
                  </w:r>
                </w:p>
                <w:p w:rsidR="00C259DA" w:rsidRPr="00C259DA" w:rsidRDefault="00C259DA" w:rsidP="00C259DA">
                  <w:pPr>
                    <w:spacing w:after="101"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Calle Cosmos Número 4334. Esq. con CallePino Col. Satélite, C.P. 31104. Chihuahua, Chih.</w:t>
                  </w:r>
                </w:p>
              </w:tc>
            </w:tr>
            <w:tr w:rsidR="00C259DA" w:rsidRPr="00C259DA" w:rsidTr="00C259DA">
              <w:trPr>
                <w:trHeight w:val="332"/>
              </w:trPr>
              <w:tc>
                <w:tcPr>
                  <w:tcW w:w="3261" w:type="dxa"/>
                  <w:tcBorders>
                    <w:top w:val="single" w:sz="6" w:space="0" w:color="000000"/>
                    <w:left w:val="single" w:sz="6" w:space="0" w:color="000000"/>
                    <w:bottom w:val="single" w:sz="6" w:space="0" w:color="000000"/>
                    <w:right w:val="single" w:sz="6" w:space="0" w:color="000000"/>
                  </w:tcBorders>
                  <w:tcMar>
                    <w:top w:w="0" w:type="dxa"/>
                    <w:left w:w="70" w:type="dxa"/>
                    <w:bottom w:w="0" w:type="dxa"/>
                    <w:right w:w="70" w:type="dxa"/>
                  </w:tcMar>
                  <w:hideMark/>
                </w:tcPr>
                <w:p w:rsidR="00C259DA" w:rsidRPr="00C259DA" w:rsidRDefault="00C259DA" w:rsidP="00C259DA">
                  <w:pPr>
                    <w:spacing w:after="101"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w:t>
                  </w:r>
                </w:p>
              </w:tc>
              <w:tc>
                <w:tcPr>
                  <w:tcW w:w="3827" w:type="dxa"/>
                  <w:tcBorders>
                    <w:top w:val="single" w:sz="6" w:space="0" w:color="000000"/>
                    <w:left w:val="single" w:sz="6" w:space="0" w:color="000000"/>
                    <w:bottom w:val="single" w:sz="6" w:space="0" w:color="000000"/>
                    <w:right w:val="single" w:sz="6" w:space="0" w:color="000000"/>
                  </w:tcBorders>
                  <w:tcMar>
                    <w:top w:w="0" w:type="dxa"/>
                    <w:left w:w="70" w:type="dxa"/>
                    <w:bottom w:w="0" w:type="dxa"/>
                    <w:right w:w="70" w:type="dxa"/>
                  </w:tcMar>
                  <w:hideMark/>
                </w:tcPr>
                <w:p w:rsidR="00C259DA" w:rsidRPr="00C259DA" w:rsidRDefault="00C259DA" w:rsidP="00C259DA">
                  <w:pPr>
                    <w:spacing w:after="101"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w:t>
                  </w:r>
                </w:p>
              </w:tc>
            </w:tr>
          </w:tbl>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eastAsia="es-ES"/>
              </w:rPr>
              <w:t>LIEPS 19, RMF 2018 5.3.1.</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b/>
                <w:bCs/>
                <w:color w:val="2F2F2F"/>
                <w:sz w:val="18"/>
                <w:szCs w:val="18"/>
                <w:lang w:eastAsia="es-ES"/>
              </w:rPr>
              <w:t>Características del código de seguridad</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5.2.31.</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Para los efectos del artículo 19, fracción XXII, inciso e) de la Ley del IEPS, los códigos de seguridad que se impriman en las cajetillas de cigarros, deberán contener las siguientes características:</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Estar representado gráficamente por un código de puntos (DotCode), para que se pueda leer por dispositivos móviles.</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eastAsia="es-ES"/>
              </w:rPr>
              <w:t>LIEPS 19</w:t>
            </w:r>
          </w:p>
          <w:p w:rsidR="00C259DA" w:rsidRPr="00C259DA" w:rsidRDefault="00C259DA" w:rsidP="00C259DA">
            <w:pPr>
              <w:spacing w:after="80"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18"/>
                <w:szCs w:val="18"/>
                <w:lang w:eastAsia="es-ES"/>
              </w:rPr>
              <w:t> </w:t>
            </w:r>
          </w:p>
          <w:p w:rsidR="00C259DA" w:rsidRPr="00C259DA" w:rsidRDefault="00C259DA" w:rsidP="00C259DA">
            <w:pPr>
              <w:spacing w:after="80"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b/>
                <w:bCs/>
                <w:color w:val="2F2F2F"/>
                <w:sz w:val="18"/>
                <w:szCs w:val="18"/>
                <w:lang w:eastAsia="es-ES"/>
              </w:rPr>
              <w:t>Comprobantes fiscales por los costos, gastos o inversiones efectuados por consorcios</w:t>
            </w:r>
          </w:p>
          <w:p w:rsidR="00C259DA" w:rsidRPr="00C259DA" w:rsidRDefault="00C259DA" w:rsidP="00C259DA">
            <w:pPr>
              <w:spacing w:after="80"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10.6.</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Para los efectos del artículo 32, apartado B, fracciones III, V, VII y IX de la LISH, los CFDI que expida el operador del consorcio a favor de cada uno de los integrantes del mismo a fin de amparar los costos, gastos e inversiones efectuados derivados de la ejecución del contrato correspondiente, podrán emitirse de forma mensual, siempre que incluyan las operaciones que se hubieran realizado en el mes de calendario que corresponda y se expidan antes de que se cumpla el plazo para presentar las declaraciones de dicho mes.</w:t>
            </w:r>
          </w:p>
          <w:p w:rsidR="00C259DA" w:rsidRPr="00C259DA" w:rsidRDefault="00C259DA" w:rsidP="00C259DA">
            <w:pPr>
              <w:spacing w:after="80"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Tanto los CFDI´s que se emitan de forma mensual en los términos del párrafo que antecede, como aquellos que se expidan sin ejercer dicha opción deberán incorporar el Complemento "Gastos del consorcio derivados de la Ejecución de un Contrato de Exploración o Extracción de Hidrocarburos" que al efecto se publique en el Portal del SAT, mismo que contendrá la siguiente información:</w:t>
            </w:r>
          </w:p>
          <w:p w:rsidR="00C259DA" w:rsidRPr="00C259DA" w:rsidRDefault="00C259DA" w:rsidP="00C259DA">
            <w:pPr>
              <w:spacing w:after="80"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p>
          <w:p w:rsidR="00C259DA" w:rsidRPr="00C259DA" w:rsidRDefault="00C259DA" w:rsidP="00C259DA">
            <w:pPr>
              <w:spacing w:after="80"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eastAsia="es-ES"/>
              </w:rPr>
              <w:t>CFF 29, 29-A, LISH 32, RMF 2018 2.7.1.16.</w:t>
            </w:r>
          </w:p>
          <w:p w:rsidR="00C259DA" w:rsidRPr="00C259DA" w:rsidRDefault="00C259DA" w:rsidP="00C259DA">
            <w:pPr>
              <w:spacing w:after="80"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b/>
                <w:bCs/>
                <w:color w:val="2F2F2F"/>
                <w:sz w:val="18"/>
                <w:szCs w:val="18"/>
                <w:lang w:eastAsia="es-ES"/>
              </w:rPr>
              <w:t>Inicio de las actividades destinadas a la producción comercial de hidrocarburos</w:t>
            </w:r>
          </w:p>
          <w:p w:rsidR="00C259DA" w:rsidRPr="00C259DA" w:rsidRDefault="00C259DA" w:rsidP="00C259DA">
            <w:pPr>
              <w:spacing w:after="80"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10.10.</w:t>
            </w:r>
            <w:r w:rsidRPr="00C259DA">
              <w:rPr>
                <w:rFonts w:ascii="Arial" w:eastAsia="Times New Roman" w:hAnsi="Arial" w:cs="Arial"/>
                <w:color w:val="2F2F2F"/>
                <w:sz w:val="20"/>
                <w:szCs w:val="20"/>
                <w:lang w:eastAsia="es-ES"/>
              </w:rPr>
              <w:t>           .......................................................................................................................</w:t>
            </w:r>
          </w:p>
          <w:p w:rsidR="00C259DA" w:rsidRPr="00C259DA" w:rsidRDefault="00C259DA" w:rsidP="00C259DA">
            <w:pPr>
              <w:spacing w:after="80"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Tratándose de la migración de asignaciones a contratos para la exploración y extracción de hidrocarburos en los que ya exista producción comercial de los mismos, se aplicará la cuota establecida en el artículo 55, fracción II de la LISH, para efectos de la determinación del IAEEH.</w:t>
            </w:r>
          </w:p>
          <w:p w:rsidR="00C259DA" w:rsidRPr="00C259DA" w:rsidRDefault="00C259DA" w:rsidP="00C259DA">
            <w:pPr>
              <w:spacing w:after="80"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eastAsia="es-ES"/>
              </w:rPr>
              <w:t>LISH 55,56, RMF 2018 10.14.</w:t>
            </w:r>
          </w:p>
          <w:p w:rsidR="00C259DA" w:rsidRPr="00C259DA" w:rsidRDefault="00C259DA" w:rsidP="00C259DA">
            <w:pPr>
              <w:spacing w:after="80"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b/>
                <w:bCs/>
                <w:color w:val="2F2F2F"/>
                <w:sz w:val="18"/>
                <w:szCs w:val="18"/>
                <w:lang w:eastAsia="es-ES"/>
              </w:rPr>
              <w:t>Devolución de saldos a favor de IVA para contribuyentes que tengan la calidad de contratistas en términos de la Ley de Hidrocarburos</w:t>
            </w:r>
          </w:p>
          <w:p w:rsidR="00C259DA" w:rsidRPr="00C259DA" w:rsidRDefault="00C259DA" w:rsidP="00C259DA">
            <w:pPr>
              <w:spacing w:after="80"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10.21.</w:t>
            </w:r>
            <w:r w:rsidRPr="00C259DA">
              <w:rPr>
                <w:rFonts w:ascii="Arial" w:eastAsia="Times New Roman" w:hAnsi="Arial" w:cs="Arial"/>
                <w:color w:val="2F2F2F"/>
                <w:sz w:val="20"/>
                <w:szCs w:val="20"/>
                <w:lang w:eastAsia="es-ES"/>
              </w:rPr>
              <w:t>           .......................................................................................................................</w:t>
            </w:r>
          </w:p>
          <w:p w:rsidR="00C259DA" w:rsidRPr="00C259DA" w:rsidRDefault="00C259DA" w:rsidP="00C259DA">
            <w:pPr>
              <w:spacing w:after="80"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Tratándose de contribuyentes que de conformidad con el artículo 5, fracción VI, párrafos primero, inciso b) y sexto de la Ley del IVA, a partir de enero de 2017 realicen gastos e inversiones en periodo preoperativo y opten por solicitar la devolución del IVA que les haya sido trasladado o pagado en la importación por dichos gastos e inversiones, deberán presentar la solicitud de devolución en el mes siguiente a aquél en el que se realicen losgastos e inversiones. No obstante, la primera solicitud, así como las subsecuentes, se podrán presentar con posterioridad siempre y cuando el contribuyente no hubiere realizado actos o actividades por los que va a estar obligado al pago del IVA o a la realización de actividades a la tasa del 0%.</w:t>
            </w:r>
          </w:p>
          <w:p w:rsidR="00C259DA" w:rsidRPr="00C259DA" w:rsidRDefault="00C259DA" w:rsidP="00C259DA">
            <w:pPr>
              <w:spacing w:after="80" w:line="240" w:lineRule="auto"/>
              <w:ind w:hanging="1152"/>
              <w:jc w:val="both"/>
              <w:rPr>
                <w:rFonts w:ascii="Arial" w:eastAsia="Times New Roman" w:hAnsi="Arial" w:cs="Arial"/>
                <w:color w:val="2F2F2F"/>
                <w:sz w:val="18"/>
                <w:szCs w:val="18"/>
                <w:lang w:val="en-US"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20"/>
                <w:szCs w:val="20"/>
                <w:lang w:val="en-US" w:eastAsia="es-ES"/>
              </w:rPr>
              <w:t>.......................................................................................................................</w:t>
            </w:r>
          </w:p>
          <w:p w:rsidR="00C259DA" w:rsidRPr="00C259DA" w:rsidRDefault="00C259DA" w:rsidP="00C259DA">
            <w:pPr>
              <w:spacing w:after="80" w:line="240" w:lineRule="auto"/>
              <w:ind w:hanging="1152"/>
              <w:jc w:val="both"/>
              <w:rPr>
                <w:rFonts w:ascii="Arial" w:eastAsia="Times New Roman" w:hAnsi="Arial" w:cs="Arial"/>
                <w:color w:val="2F2F2F"/>
                <w:sz w:val="18"/>
                <w:szCs w:val="18"/>
                <w:lang w:val="en-US" w:eastAsia="es-ES"/>
              </w:rPr>
            </w:pPr>
            <w:r w:rsidRPr="00C259DA">
              <w:rPr>
                <w:rFonts w:ascii="Arial" w:eastAsia="Times New Roman" w:hAnsi="Arial" w:cs="Arial"/>
                <w:color w:val="2F2F2F"/>
                <w:sz w:val="20"/>
                <w:szCs w:val="20"/>
                <w:lang w:val="en-US" w:eastAsia="es-ES"/>
              </w:rPr>
              <w:t>                   </w:t>
            </w:r>
            <w:r w:rsidRPr="00C259DA">
              <w:rPr>
                <w:rFonts w:ascii="Arial" w:eastAsia="Times New Roman" w:hAnsi="Arial" w:cs="Arial"/>
                <w:i/>
                <w:iCs/>
                <w:color w:val="2F2F2F"/>
                <w:sz w:val="18"/>
                <w:szCs w:val="18"/>
                <w:lang w:val="en-US" w:eastAsia="es-ES"/>
              </w:rPr>
              <w:t>CFF 17-H, 22, 22-A, 69, 69-B, LIVA 5, 6, RMF 2018, 2.3.4., 2.8.1.6.</w:t>
            </w:r>
          </w:p>
          <w:p w:rsidR="00C259DA" w:rsidRPr="00C259DA" w:rsidRDefault="00C259DA" w:rsidP="00C259DA">
            <w:pPr>
              <w:spacing w:after="80"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val="en-US" w:eastAsia="es-ES"/>
              </w:rPr>
              <w:t>                   </w:t>
            </w:r>
            <w:r w:rsidRPr="00C259DA">
              <w:rPr>
                <w:rFonts w:ascii="Arial" w:eastAsia="Times New Roman" w:hAnsi="Arial" w:cs="Arial"/>
                <w:b/>
                <w:bCs/>
                <w:color w:val="2F2F2F"/>
                <w:sz w:val="18"/>
                <w:szCs w:val="18"/>
                <w:lang w:eastAsia="es-ES"/>
              </w:rPr>
              <w:t>Requisitos a cumplir tratándose de donación y entrega para su exhibición y conservación de obras a museos</w:t>
            </w:r>
          </w:p>
          <w:p w:rsidR="00C259DA" w:rsidRPr="00C259DA" w:rsidRDefault="00C259DA" w:rsidP="00C259DA">
            <w:pPr>
              <w:spacing w:after="80"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lastRenderedPageBreak/>
              <w:t>11.1.1.</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Para los efectos de los Artículos Tercero y Décimo Segundo del Decreto a que se refiere este Capítulo y en particular, de las donaciones de obras a museos propiedad de personas morales autorizadas para recibir donativos deducibles, o que pertenezcan a la Federación, una entidad federativa, municipio u organismo descentralizado o de la entrega de obras de arte plásticas distintas a la pintura, grabado y escultura para su exhibición y conservación a un museo de arte contemporáneo, se estará a lo siguiente:</w:t>
            </w:r>
          </w:p>
          <w:p w:rsidR="00C259DA" w:rsidRPr="00C259DA" w:rsidRDefault="00C259DA" w:rsidP="00C259DA">
            <w:pPr>
              <w:spacing w:after="80"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Los museos a que hace referencia esta regla, deberán presentar por conducto de persona facultada para ello, mediante buzón tributario, la siguiente información relativa a los artistas que les hubieren donado o entregado obras: nombre completo del artista, seudónimo del mismo, ficha técnica de la obra donada o entregada para su exhibición y conservación, imagen digital de la obra en alta resolución.</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Las obras deberán exhibirse permanentemente en museos o pinacotecas abiertas al público en general, dedicadas a la difusión de la plástica contemporánea, con espacios de exposición permanente que cumplan con las condiciones museográficas, curatoriales y de almacenamiento propias para su resguardo y exhibición.</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eastAsia="es-ES"/>
              </w:rPr>
              <w:t>DECRETO DOF 31/10/94 Tercero, Décimo Segundo</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18"/>
                <w:szCs w:val="18"/>
                <w:lang w:eastAsia="es-ES"/>
              </w:rPr>
              <w:t> </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b/>
                <w:bCs/>
                <w:color w:val="2F2F2F"/>
                <w:sz w:val="18"/>
                <w:szCs w:val="18"/>
                <w:lang w:eastAsia="es-ES"/>
              </w:rPr>
              <w:t>Fondo Nacional para el Fomento de las Artesanías (FONART) como museo para las obras señaladas en la regla 11.1.8.</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11.1.9.</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Para los efectos del Artículo Décimo Segundo del Decreto a que se refiere este Capítulo, y en particular tratándose de la entrega para exhibición y conservación, de las obras a que se refiere la regla 11.1.8., el FONART se considera museo de arte contemporáneo, el cual deberá exhibir las obras que le sean entregadas, no enajenarlas y conservarlas.</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eastAsia="es-ES"/>
              </w:rPr>
              <w:t>DECRETO 31/10/94 Tercero, Décimo Segundo, RMF 2018 11.1.8.</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b/>
                <w:bCs/>
                <w:color w:val="2F2F2F"/>
                <w:sz w:val="18"/>
                <w:szCs w:val="18"/>
                <w:lang w:eastAsia="es-ES"/>
              </w:rPr>
              <w:t>Devolución del excedente del estímulo acreditable</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11.8.1.</w:t>
            </w:r>
            <w:r w:rsidRPr="00C259DA">
              <w:rPr>
                <w:rFonts w:ascii="Arial" w:eastAsia="Times New Roman" w:hAnsi="Arial" w:cs="Arial"/>
                <w:color w:val="2F2F2F"/>
                <w:sz w:val="20"/>
                <w:szCs w:val="20"/>
                <w:lang w:eastAsia="es-ES"/>
              </w:rPr>
              <w:t>          .......................................................................................................................</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La cantidad que se solicite se haya generado en los ejercicios fiscales de 2017 o 2018 determinada conforme a lo establecido en el Decreto a que se refiere este Capítulo, después de aplicarse en su caso contra el pago provisional o anual del ISR o definitivo del IVA a cargo del contribuyente, según corresponda, y se tramite una vez presentadas las declaraciones correspondientes a dichos impuestos, así como la DIOT a que se refiere el artículo 32, primer párrafo, fracción VIII de la Ley del IVA y la información contable prevista en las fracciones I, II y III de la regla 2.8.1.6., respecto del mismo periodo por el que se solicite la devolución.</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Se proporcionen anexos a la solicitud de devolución:</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a)</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Papel de trabajo para determinar el monto del estímulo acreditable y el excedente que se solicite en devolución, respecto de las enajenaciones de gasolinas efectuadas según corresponda al tipo de gasolina, identificadas por cada estación de servicio ubicada en las zonas geográficas a que se refieren los Artículos Cuarto y Quinto del Decreto, distinguiéndolas de las enajenaciones de gasolinas en el resto del territorio nacional, así como en su caso, los papeles de trabajo para determinar el ISR y el IVA del periodo por el que se solicita la devolución, precisando el importe del estímulo acreditado contra dichos impuestos.</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b)</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El archivo denominado "VTADetalle" en formato XML conforme al numeral 18.9. del Anexo 18, en relación a las "Especificaciones Técnicas para la Generación del Archivo XML de Controles Volumétricos para Gasolina o Diésel" versión 1.2 publicadas en el Portal del SAT en el mes de abril de 2018, derivado del reporte emitido de los equipos y programas informáticos con los que se llevan los controles volumétricos en donde se registra el volumen utilizado para determinar la existencia, adquisición y venta de combustible en términos del artículo 28, fracción I, segundo y tercer párrafos del CFF, cuya información deberá corresponder con la registrada en lacontabilidad del contribuyente.</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c)</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El archivo en formato XML de las pólizas que contengan el registro contable en cuentas de orden del importe total del estímulo fiscal generado, acreditado y obtenido en devolución en su caso, así como las relativas al registro pormenorizado de la enajenación de gasolina realizada exclusivamente en las estaciones de servicio ubicadas en las zonas geográficas a que se refierenlos artículos Cuarto y Quinto del Decreto a que se refiere este Capítulo, distinguidas de la enajenación de dicho combustible en el resto del territorio nacional, respecto del periodo por el que se solicita la devolución.</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d)</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Escrito firmado por el contribuyente o su representante legal en el que se manifieste bajo protesta de decir verdad, si la totalidad del suministro de las gasolinas sujetas al estímulo se realizó directamente en los tanques de gasolina de los vehículos para el empleo en su motor, conforme a lo dispuesto en el Artículo Tercero del Decreto a que se refiere este Capítulo, detallando en su caso, las enajenaciones efectuadas en forma distinta en dichas zonas geográficas.</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color w:val="2F2F2F"/>
                <w:sz w:val="18"/>
                <w:szCs w:val="18"/>
                <w:lang w:eastAsia="es-ES"/>
              </w:rPr>
              <w:t> </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f)</w:t>
            </w:r>
            <w:r w:rsidRPr="00C259DA">
              <w:rPr>
                <w:rFonts w:ascii="Arial" w:eastAsia="Times New Roman" w:hAnsi="Arial" w:cs="Arial"/>
                <w:color w:val="2F2F2F"/>
                <w:sz w:val="20"/>
                <w:szCs w:val="20"/>
                <w:lang w:eastAsia="es-ES"/>
              </w:rPr>
              <w:t>     .....................................................................................................</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2.</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Relación de las estaciones de servicio susceptibles al estímulo con permiso a nombre del contribuyente que solicita la devolución en los términos del numeral anterior, indicando su número de registro para poder operar como tales otorgado por la autoridad competente, sudomicilio y fecha de apertura ante el RFC, así como la zona geográfica donde se ubiquen conforme a los Artículos Cuarto y Quinto del Decreto a que se refiere este Capítulo, presentándose asimismo cuando se actualice esta información.</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lastRenderedPageBreak/>
              <w:t>            </w:t>
            </w:r>
            <w:r w:rsidRPr="00C259DA">
              <w:rPr>
                <w:rFonts w:ascii="Arial" w:eastAsia="Times New Roman" w:hAnsi="Arial" w:cs="Arial"/>
                <w:color w:val="2F2F2F"/>
                <w:sz w:val="18"/>
                <w:szCs w:val="18"/>
                <w:lang w:eastAsia="es-ES"/>
              </w:rPr>
              <w:t>No obstante lo anterior, se dejan a salvo las facultades de comprobación de las autoridades fiscales de conformidad con lo establecido en el artículo 22 del CFF.</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eastAsia="es-ES"/>
              </w:rPr>
              <w:t>CFF 17-H, 22, 25, 28, 32-D, 69, 69-B, LISR 27, LIVA 32, LIEPS </w:t>
            </w:r>
            <w:r w:rsidRPr="00C259DA">
              <w:rPr>
                <w:rFonts w:ascii="Arial" w:eastAsia="Times New Roman" w:hAnsi="Arial" w:cs="Arial"/>
                <w:color w:val="2F2F2F"/>
                <w:sz w:val="18"/>
                <w:szCs w:val="18"/>
                <w:lang w:eastAsia="es-ES"/>
              </w:rPr>
              <w:t>2, 19</w:t>
            </w:r>
            <w:r w:rsidRPr="00C259DA">
              <w:rPr>
                <w:rFonts w:ascii="Arial" w:eastAsia="Times New Roman" w:hAnsi="Arial" w:cs="Arial"/>
                <w:i/>
                <w:iCs/>
                <w:color w:val="2F2F2F"/>
                <w:sz w:val="18"/>
                <w:szCs w:val="18"/>
                <w:lang w:eastAsia="es-ES"/>
              </w:rPr>
              <w:t>, RCFF 33, 34, RMF 2018 2.1.39., 2.8.1.6., DECRETO DOF 27/12/2016 Segundo, Tercero y Quinto</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SEGUNDO.</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De conformidad con lo dispuesto en el artículo 5 de la Ley Federal de los Derechos del Contribuyente, se da a conocer el texto actualizado de las reglas a que se refiere el Resolutivo Primero de la presente Resolución.</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En caso de discrepancia entre el contenido del Resolutivo Primero y del presente, prevalece el texto del Resolutivo Primero:</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"Anexos de la RMF</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1.9.</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Para los efectos de esta RMF, forman parte de la misma los siguientes anexos:</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Anexo 1, que contiene las formas oficiales aprobadas por el SAT, así como las constancias de percepciones y retenciones, señaladas en esta RMF.</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Anexo 1-A, de trámites fiscales.</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Anexo 2, que contiene los porcentajes de deducción opcional aplicable a contribuyentes que cuenten con concesión, autorización o permiso de obras públicas.</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IV.</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Anexo 3, con los criterios no vinculativos de las disposiciones fiscales emitidos de conformidad con el artículo 33, fracción I, inciso h) del CFF.</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V.</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Anexo 4, que comprende los siguientes rubros:</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A.</w:t>
            </w:r>
            <w:r w:rsidRPr="00C259DA">
              <w:rPr>
                <w:rFonts w:ascii="Arial" w:eastAsia="Times New Roman" w:hAnsi="Arial" w:cs="Arial"/>
                <w:color w:val="2F2F2F"/>
                <w:sz w:val="20"/>
                <w:szCs w:val="20"/>
                <w:lang w:eastAsia="es-ES"/>
              </w:rPr>
              <w:t>    </w:t>
            </w:r>
            <w:r w:rsidRPr="00C259DA">
              <w:rPr>
                <w:rFonts w:ascii="Arial" w:eastAsia="Times New Roman" w:hAnsi="Arial" w:cs="Arial"/>
                <w:b/>
                <w:bCs/>
                <w:color w:val="2F2F2F"/>
                <w:sz w:val="18"/>
                <w:szCs w:val="18"/>
                <w:lang w:eastAsia="es-ES"/>
              </w:rPr>
              <w:t>(Derogado)</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B.</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Instituciones de crédito autorizadas para la recepción de declaraciones provisionales y anuales por Internet y ventanilla bancaria.</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C.</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Instituciones de crédito autorizadas para la recepción de pagos de derechos, productos y aprovechamientos por Internet y ventanilla bancaria.</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D.</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Instituciones de crédito autorizadas para la recepción de pagos por depósito referenciado mediante línea de captura.</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VI</w:t>
            </w:r>
            <w:r w:rsidRPr="00C259DA">
              <w:rPr>
                <w:rFonts w:ascii="Arial" w:eastAsia="Times New Roman" w:hAnsi="Arial" w:cs="Arial"/>
                <w:color w:val="2F2F2F"/>
                <w:sz w:val="18"/>
                <w:szCs w:val="18"/>
                <w:lang w:eastAsia="es-ES"/>
              </w:rPr>
              <w:t>.</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Anexo 5, que contiene las cantidades actualizadas establecidas en el CFF.</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VII.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Anexo 6, "Catálogo de Actividades Económicas", que contiene el catálogo a que se refieren los artículos 82, fracción II, inciso d) del CFF y 45, último párrafo de su Reglamento.</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VIII.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Anexo 7, que compila los criterios normativos en materia de impuestos internos emitidos de conformidad con los artículos 33, penúltimo párrafo y 35 del CFF.</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IX.</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Anexo 8, que contiene las tarifas aplicables a pagos provisionales, retenciones y cálculo del impuesto correspondiente para los ejercicios fiscales 2017 y 2018.</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X.</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Anexo 9, por el que se da a conocer la "Tabla a que se refiere la regla 3.15.1. de la Resolución Miscelánea Fiscal para 2018, para la opción de actualización de deducciones que señala el artículo 121 de la Ley del ISR".</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color w:val="2F2F2F"/>
                <w:sz w:val="18"/>
                <w:szCs w:val="18"/>
                <w:lang w:eastAsia="es-ES"/>
              </w:rPr>
              <w:t> </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XI.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Anexo 10, por el que se dan a conocer:</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A.</w:t>
            </w:r>
            <w:r w:rsidRPr="00C259DA">
              <w:rPr>
                <w:rFonts w:ascii="Arial" w:eastAsia="Times New Roman" w:hAnsi="Arial" w:cs="Arial"/>
                <w:color w:val="2F2F2F"/>
                <w:sz w:val="20"/>
                <w:szCs w:val="20"/>
                <w:lang w:eastAsia="es-ES"/>
              </w:rPr>
              <w:t>    </w:t>
            </w:r>
            <w:r w:rsidRPr="00C259DA">
              <w:rPr>
                <w:rFonts w:ascii="Arial" w:eastAsia="Times New Roman" w:hAnsi="Arial" w:cs="Arial"/>
                <w:b/>
                <w:bCs/>
                <w:color w:val="2F2F2F"/>
                <w:sz w:val="18"/>
                <w:szCs w:val="18"/>
                <w:lang w:eastAsia="es-ES"/>
              </w:rPr>
              <w:t>(Derogado)</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B.</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Catálogo de claves de país y país de residencia.</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C.</w:t>
            </w:r>
            <w:r w:rsidRPr="00C259DA">
              <w:rPr>
                <w:rFonts w:ascii="Arial" w:eastAsia="Times New Roman" w:hAnsi="Arial" w:cs="Arial"/>
                <w:color w:val="2F2F2F"/>
                <w:sz w:val="20"/>
                <w:szCs w:val="20"/>
                <w:lang w:eastAsia="es-ES"/>
              </w:rPr>
              <w:t>    </w:t>
            </w:r>
            <w:r w:rsidRPr="00C259DA">
              <w:rPr>
                <w:rFonts w:ascii="Arial" w:eastAsia="Times New Roman" w:hAnsi="Arial" w:cs="Arial"/>
                <w:b/>
                <w:bCs/>
                <w:color w:val="2F2F2F"/>
                <w:sz w:val="18"/>
                <w:szCs w:val="18"/>
                <w:lang w:eastAsia="es-ES"/>
              </w:rPr>
              <w:t>(Derogado)</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D.</w:t>
            </w:r>
            <w:r w:rsidRPr="00C259DA">
              <w:rPr>
                <w:rFonts w:ascii="Arial" w:eastAsia="Times New Roman" w:hAnsi="Arial" w:cs="Arial"/>
                <w:color w:val="2F2F2F"/>
                <w:sz w:val="20"/>
                <w:szCs w:val="20"/>
                <w:lang w:eastAsia="es-ES"/>
              </w:rPr>
              <w:t>    </w:t>
            </w:r>
            <w:r w:rsidRPr="00C259DA">
              <w:rPr>
                <w:rFonts w:ascii="Arial" w:eastAsia="Times New Roman" w:hAnsi="Arial" w:cs="Arial"/>
                <w:b/>
                <w:bCs/>
                <w:color w:val="2F2F2F"/>
                <w:sz w:val="18"/>
                <w:szCs w:val="18"/>
                <w:lang w:eastAsia="es-ES"/>
              </w:rPr>
              <w:t>(Derogado)</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XII.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Anexo 11, que se integra por los siguientes Apartados:</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A.</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Catálogo de claves de tipo de producto.</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B.</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Catálogos de claves de nombres genéricos de bebidas alcohólicas y marcas de tabacos labrados.</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C.</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Catálogo de claves de entidad federativa.</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D.</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Catálogo de claves de graduación alcohólica.</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E.</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Catálogo de claves de empaque.</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F.</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Catálogo de claves de unidad de medida.</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G.</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Rectificaciones</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XIII.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Anexo 12, que contiene las entidades federativas y municipios que han celebrado con la Federación convenio de colaboración administrativa en materia fiscal federal, para efectos del pago de derechos.</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XIV.</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Anexo 13, que contiene las áreas geográficas destinadas para la preservación de flora y fauna silvestre y acuática.</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XV.</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 xml:space="preserve">Anexo 14, que contiene el listado de organizaciones civiles y fideicomisos autorizados para recibir donativos deducibles del </w:t>
            </w:r>
            <w:r w:rsidRPr="00C259DA">
              <w:rPr>
                <w:rFonts w:ascii="Arial" w:eastAsia="Times New Roman" w:hAnsi="Arial" w:cs="Arial"/>
                <w:color w:val="2F2F2F"/>
                <w:sz w:val="18"/>
                <w:szCs w:val="18"/>
                <w:lang w:eastAsia="es-ES"/>
              </w:rPr>
              <w:lastRenderedPageBreak/>
              <w:t>ISR.</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XVI.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Anexo 15, respecto del ISAN.</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XVII</w:t>
            </w:r>
            <w:r w:rsidRPr="00C259DA">
              <w:rPr>
                <w:rFonts w:ascii="Arial" w:eastAsia="Times New Roman" w:hAnsi="Arial" w:cs="Arial"/>
                <w:color w:val="2F2F2F"/>
                <w:sz w:val="18"/>
                <w:szCs w:val="18"/>
                <w:lang w:eastAsia="es-ES"/>
              </w:rPr>
              <w:t>.</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Anexo 16, que contiene los instructivos de integración y de características, los formatos guía para la presentación del dictamen de estados financieros para efectos fiscales emitido por contador público inscrito, y de los cuestionarios relativos a la revisión efectuada por el contador público, por el ejercicio fiscal de 2017, utilizando el sistema de presentación del dictamen 2017 (SIPRED 2017).</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XVIII.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Anexo 16-A, que contiene los instructivos de integración y de características, los formatos guía para la presentación del dictamen de estados financieros para efectos fiscales emitido por contador público inscrito, por el ejercicio fiscal de 2017, utilizando el sistema de presentación del dictamen 2017(SIPRED 2017).</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XIX.</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Anexo 17, de los Proveedores de Servicio Autorizado y los Órganos de Verificación de Juegos con Apuestas y Sorteos.</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XX.</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Anexo 18, por el que se dan a conocer las características, así como las disposiciones generales de los controles volumétricos que para gasolina, diésel, gas natural para combustión automotriz y gas licuado de petróleo para combustión automotriz, se enajene en establecimientos abiertos al público en general, de conformidad con el artículo 28, fracción I, segundo párrafo del CFF.</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XXI.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Anexo 19, que contiene las cantidades actualizadas establecidas en la Ley Federal de Derechos del año 2018.</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XXII.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Anexo 20, "Medios electrónicos".</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XXIII.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Anexo 21, "Documentos digitales", que contiene el marco general de los documentos digitales y el mecanismo de comunicación entre</w:t>
            </w:r>
            <w:r w:rsidRPr="00C259DA">
              <w:rPr>
                <w:rFonts w:ascii="Arial" w:eastAsia="Times New Roman" w:hAnsi="Arial" w:cs="Arial"/>
                <w:b/>
                <w:bCs/>
                <w:color w:val="2F2F2F"/>
                <w:sz w:val="18"/>
                <w:szCs w:val="18"/>
                <w:lang w:eastAsia="es-ES"/>
              </w:rPr>
              <w:t> </w:t>
            </w:r>
            <w:r w:rsidRPr="00C259DA">
              <w:rPr>
                <w:rFonts w:ascii="Arial" w:eastAsia="Times New Roman" w:hAnsi="Arial" w:cs="Arial"/>
                <w:color w:val="2F2F2F"/>
                <w:sz w:val="18"/>
                <w:szCs w:val="18"/>
                <w:lang w:eastAsia="es-ES"/>
              </w:rPr>
              <w:t>los proveedores de certificación de recepción de documentos digitales y los contribuyentes.</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XXIV.</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Anexo 22, que contiene las ciudades que comprenden dos o más Municipios, conforme al Catálogo Urbano Nacional 2012, elaborado por la Secretaría de Desarrollo Social, la Secretaría de Gobernación y el Consejo Nacional de Población.</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XXV.</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Anexo 23, que contiene el domicilio de las Unidades Administrativas del SAT.</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color w:val="2F2F2F"/>
                <w:sz w:val="18"/>
                <w:szCs w:val="18"/>
                <w:lang w:eastAsia="es-ES"/>
              </w:rPr>
              <w:t> </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XXVI.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Anexo 24, que se refiere a la Contabilidad en Medios Electrónicos.</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XXVII.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Anexo 25, que contiene el Acuerdo entre la Secretaría de Hacienda y Crédito Público y el Departamento del Tesoro de los Estados Unidos de América para mejorar el cumplimiento fiscal internacional incluyendo respecto de FATCA y las Disposiciones adicionales aplicables para la generación de información respecto de las cuentas y los pagos a que se refiere el Apartado I, inciso a) de dicho Anexo.</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XXVIII</w:t>
            </w:r>
            <w:r w:rsidRPr="00C259DA">
              <w:rPr>
                <w:rFonts w:ascii="Arial" w:eastAsia="Times New Roman" w:hAnsi="Arial" w:cs="Arial"/>
                <w:color w:val="2F2F2F"/>
                <w:sz w:val="18"/>
                <w:szCs w:val="18"/>
                <w:lang w:eastAsia="es-ES"/>
              </w:rPr>
              <w:t>.</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Anexo 25-Bis, que comprende los siguientes rubros:</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1.</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Obligaciones Generales y Procedimientos de Identificación y Reporte de Cuentas Reportables.</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2.</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Disposiciones adicionales aplicables para la generación de información respecto de las cuentas y los pagos a que se refiere la Primera Parte de dicho Anexo.</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XXIX.</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Anexo 26, que se refiere a Códigos de Seguridad en cajetillas de cigarros.</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XXX.</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Anexo 26-Bis, que se refiere a Códigos de Seguridad para la Industria Tabacalera a través de servicios.</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XXXI.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Anexo 27, que contiene las cuotas actualizadas del Derecho de Exploración de Hidrocarburos y del Impuesto por la Actividad de Exploración y Extracción de Hidrocarburos que establece la Ley de Ingresos sobre Hidrocarburos y su Reglamento, vigentes a partir del 1 de enero de 2018.</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XXXII.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Anexo 28, que contiene las obligaciones y requisitos de los emisores de monederos electrónicos utilizados en la adquisición de combustibles para vehículos marítimos, aéreos y terrestres y de vales de despensa.</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XXXIII.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Anexo 29, que contiene las conductas que se configuran en incumplimientos de las especificaciones tecnológicas determinadas por el SAT, al enviar CFDI a dicho órgano desconcentrado a que se refieren los artículos 81, fracción XLIII y 82, fracción XL del CFF.</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eastAsia="es-ES"/>
              </w:rPr>
              <w:t>CFF 28, 31, 32, 33, 35, 81, 82, LISR 5, 121, 178, RCFF 45, RMF 2018 3.5.8., 3.15.1.</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b/>
                <w:bCs/>
                <w:color w:val="2F2F2F"/>
                <w:sz w:val="18"/>
                <w:szCs w:val="18"/>
                <w:lang w:eastAsia="es-ES"/>
              </w:rPr>
              <w:t>Transmisión de activos y pasivos de un establecimiento permanente en el extranjero</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2.1.54.</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Para efectos del artículo 14 del CFF, las personas morales residentes en el país que sean contribuyentes del Título II de la Ley del ISR, que realicen actividades empresariales en el extranjero y que por ellas constituyan un establecimiento permanente, podrán transmitir la totalidad de los activos y pasivos que conforman el patrimonio afecto a las actividades del establecimiento permanente, a otra persona moral residente en México que forme parte del mismo grupo de sociedades, definido en los términos del artículo 24 de la Ley del ISR, sin considerar que se realiza la enajenación de los mismos, siempre que obtengan autorización de las autoridades fiscales de conformidad con la ficha de trámite 273/CFF "Solicitud de autorización para transmitir activos y pasivos de un establecimiento permanente en el extranjero", contenida en el Anexo 1-A y cumplan con los siguientes requisitos:</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Que la transmisión se realice por la totalidad de los activos y pasivos afectos a la actividad del establecimiento permanente, como consecuencia de una reestructuración corporativa entre empresas y negociaciones pertenecientes al mismo grupo.</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 xml:space="preserve">Que los activos fijos afectos a la actividad que realice el establecimiento permanente en el extranjero, permanezcan en propiedad directa de la persona moral del mismo grupo que los adquiera, por un plazo no menor a 3 años a partir de la autorización de transmisión y siempre que dichos activos hayan estado afectos a la actividad por un periodo no menor a 1 año antes de la solicitud. Asimismo, la persona moral adquirente deberá permanecer dentro del grupo los tres ejercicios </w:t>
            </w:r>
            <w:r w:rsidRPr="00C259DA">
              <w:rPr>
                <w:rFonts w:ascii="Arial" w:eastAsia="Times New Roman" w:hAnsi="Arial" w:cs="Arial"/>
                <w:color w:val="2F2F2F"/>
                <w:sz w:val="18"/>
                <w:szCs w:val="18"/>
                <w:lang w:eastAsia="es-ES"/>
              </w:rPr>
              <w:lastRenderedPageBreak/>
              <w:t>siguientes a aquél en el que se emita la autorización.</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Las inversiones, inventarios y activos fijos transmitidos tendrán para la sociedad adquirente el mismo saldo pendiente de depreciar y el mismo costo de adquisición que tenían en la sociedad enajenante. Para estos efectos, los activos fijos e inversiones que concluyan su vida útil podrán ser enajenados considerando como saldo pendiente de depreciar un peso.</w:t>
            </w:r>
          </w:p>
          <w:p w:rsidR="00C259DA" w:rsidRPr="00C259DA" w:rsidRDefault="00C259DA" w:rsidP="00C259DA">
            <w:pPr>
              <w:spacing w:after="80"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color w:val="2F2F2F"/>
                <w:sz w:val="18"/>
                <w:szCs w:val="18"/>
                <w:lang w:eastAsia="es-ES"/>
              </w:rPr>
              <w:t> </w:t>
            </w:r>
          </w:p>
          <w:p w:rsidR="00C259DA" w:rsidRPr="00C259DA" w:rsidRDefault="00C259DA" w:rsidP="00C259DA">
            <w:pPr>
              <w:spacing w:after="80"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El adquirente de las inversiones y los activos fijos deberá registrarlos en su contabilidad con un monto de inversión pendiente de deducir equivalente al saldo pendiente de deducir que tenía registrado la enajenante a la fecha de la autorización y dicho valor se deducirá en el número de años que quedabanpendientes para la enajenante.</w:t>
            </w:r>
          </w:p>
          <w:p w:rsidR="00C259DA" w:rsidRPr="00C259DA" w:rsidRDefault="00C259DA" w:rsidP="00C259DA">
            <w:pPr>
              <w:spacing w:after="80"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Los saldos pendientes de deducir relacionados con bienes con trato diferencial en México, se sujetarán a las limitantes establecidas en la Ley del ISR.</w:t>
            </w:r>
          </w:p>
          <w:p w:rsidR="00C259DA" w:rsidRPr="00C259DA" w:rsidRDefault="00C259DA" w:rsidP="00C259DA">
            <w:pPr>
              <w:spacing w:after="80"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IV.</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Si la transmisión del patrimonio afecto al establecimiento permanente da lugar al pago del ISR en el extranjero por el ingreso correspondiente a la enajenación del mismo, la sociedad enajenante deberá renunciar expresamente a su acreditamiento en la solicitud correspondiente.</w:t>
            </w:r>
          </w:p>
          <w:p w:rsidR="00C259DA" w:rsidRPr="00C259DA" w:rsidRDefault="00C259DA" w:rsidP="00C259DA">
            <w:pPr>
              <w:spacing w:after="80"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V.</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Que la contraprestación que se pague por el patrimonio transmitido, consista únicamente en acciones emitidas por la sociedad adquirente del mismo. Las acciones que reciba el enajenante por el patrimonio transmitido, o el incremento de valor de las mismas que esto genere, no tendrán efecto alguno en la determinación del costo promedio por acción para los efectos de los artículos 22 y 23 de la Ley del ISR. Para estos efectos, a la aportación del patrimonio del establecimiento permanente se le dará el mismo tratamiento que a la capitalización de utilidades retenidas en la sociedad adquirente de conformidad con el artículo 78 de la Ley del ISR.</w:t>
            </w:r>
          </w:p>
          <w:p w:rsidR="00C259DA" w:rsidRPr="00C259DA" w:rsidRDefault="00C259DA" w:rsidP="00C259DA">
            <w:pPr>
              <w:spacing w:after="80"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VI.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Las acciones que emita el adquirente deberán ser equivalentes al valor para efectos contables del patrimonio afecto al establecimiento permanente.</w:t>
            </w:r>
          </w:p>
          <w:p w:rsidR="00C259DA" w:rsidRPr="00C259DA" w:rsidRDefault="00C259DA" w:rsidP="00C259DA">
            <w:pPr>
              <w:spacing w:after="80"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En el caso de que el valor contable de los pasivos sea superior al valor contable total de los activos que se transmitan, la diferencia se considerará como ingreso acumulable; asimismo, en el caso que al momento de su transmisión se realice un ajuste al valor contable de los pasivos, el mismo se considerará como ingreso acumulable para la persona que los transmita.</w:t>
            </w:r>
          </w:p>
          <w:p w:rsidR="00C259DA" w:rsidRPr="00C259DA" w:rsidRDefault="00C259DA" w:rsidP="00C259DA">
            <w:pPr>
              <w:spacing w:after="80"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Para estos efectos, se entiende que activos consisten en la totalidad de las inversiones, activos fijos, inventarios, activos monetarios y en general cualquier bien o derecho afecto al patrimonio del establecimiento permanente.</w:t>
            </w:r>
          </w:p>
          <w:p w:rsidR="00C259DA" w:rsidRPr="00C259DA" w:rsidRDefault="00C259DA" w:rsidP="00C259DA">
            <w:pPr>
              <w:spacing w:after="80"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Si posterior a su trasmisión, los pasivos a que se refiere esta fracción se capitalizan, estos no generarán un costo comprobado de adquisición y no se considerarán para efectos de la Cuenta de Capital de Aportación para efectos de los artículos 22 y 78 de la Ley del ISR y demás disposiciones fiscales.</w:t>
            </w:r>
          </w:p>
          <w:p w:rsidR="00C259DA" w:rsidRPr="00C259DA" w:rsidRDefault="00C259DA" w:rsidP="00C259DA">
            <w:pPr>
              <w:spacing w:after="80"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VII.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El adquirente considerará un incremento en el capital social equivalente al valor neto del patrimonio adquirido, aunque éste no genere efectos en el costo fiscal de las acciones para efectos del ISR. El incremento deberá protocolizarse ante notario público, haciendo constar en dicha acta el origen de dicha operación y los datos de la autorización correspondiente.</w:t>
            </w:r>
          </w:p>
          <w:p w:rsidR="00C259DA" w:rsidRPr="00C259DA" w:rsidRDefault="00C259DA" w:rsidP="00C259DA">
            <w:pPr>
              <w:spacing w:after="80"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VIII.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Que el establecimiento permanente se ubique en un país con el que México tenga celebrado un tratado para evitar la doble tributación, un tratado de intercambio de información o un tratado de asistencia en el cobro de créditos fiscales.</w:t>
            </w:r>
          </w:p>
          <w:p w:rsidR="00C259DA" w:rsidRPr="00C259DA" w:rsidRDefault="00C259DA" w:rsidP="00C259DA">
            <w:pPr>
              <w:spacing w:after="80"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IX.</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Que el establecimiento permanente haya tributado como tal en el país en el que se realizaron las actividades por un periodo no menor a 3 años anteriores a la fecha en la que se presente la solicitud.</w:t>
            </w:r>
          </w:p>
          <w:p w:rsidR="00C259DA" w:rsidRPr="00C259DA" w:rsidRDefault="00C259DA" w:rsidP="00C259DA">
            <w:pPr>
              <w:spacing w:after="80"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X.</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Que la adquirente realice a través del establecimiento permanente las mismas actividades que se realizaban antes de la solicitud de autorización.</w:t>
            </w:r>
          </w:p>
          <w:p w:rsidR="00C259DA" w:rsidRPr="00C259DA" w:rsidRDefault="00C259DA" w:rsidP="00C259DA">
            <w:pPr>
              <w:spacing w:after="80"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XI.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En caso de que, al momento de realizarse la transmisión del patrimonio afecto al establecimiento permanente, la adquirente tenga pendiente de amortizar pérdidas fiscales sufridas en ejercicios anteriores, dichas pérdidas sufridas con anterioridad no podrán aplicarse en contra de los ingresos o las ganancias que genere el establecimiento.</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Adicionalmente, las personas morales que realicen las operaciones al amparo de la presente regla deberán dictaminarlas por contador público inscrito y presentar los dictámenes respectivos ante las autoridades fiscales de conformidad con la ficha de trámite 274/CFF "Presentación del dictamen por la transmisión de activos y pasivos de un establecimiento permanente en el extranjero", contenida en el Anexo 1-A.</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18"/>
                <w:szCs w:val="18"/>
                <w:lang w:eastAsia="es-ES"/>
              </w:rPr>
              <w:t> </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No obstante que se haya cumplido con el requisito establecido en la fracción I de esta regla, cualquier activo fijo que sea enajenado antes de concluir el plazo de 3 años a que se refiere la fracción II, tendrá un costo fiscal cero y para su enajenación se considerará el valor de mercado del mismo como ingreso acumulable. Si por dicha enajenación se paga ISR en el país en el que se encuentra afecto a la actividad, el impuesto correspondiente no será acreditable en México.</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eastAsia="es-ES"/>
              </w:rPr>
              <w:t>CFF 14, LISR 22, 23, 24, 78</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b/>
                <w:bCs/>
                <w:color w:val="2F2F2F"/>
                <w:sz w:val="18"/>
                <w:szCs w:val="18"/>
                <w:lang w:eastAsia="es-ES"/>
              </w:rPr>
              <w:t>Requisitos para la solicitud del certificado de e.firma y solicitud de renovación del Certificado de e.firma</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2.2.15.</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Para los efectos del artículo 17-D del CFF, el SAT proporcionará el Certificado de e.firma a las personas que lo soliciten, siempre que proporcionen la información relacionada con su identidad, domicilio y, en general sobre su situación fiscal, dicho certificado contendrá los requisitos señalados en la regla 2.2.3.</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En caso de que los solicitantes, no acrediten su identidad, domicilio y, en general su situación fiscal, el SAT informará a los solicitantes, sobre las inconsistencias encontradas, entregando, el "Acuse de presentación con información inconclusa de la solicitud del Certificado de e.firma y solicitud de la renovación del Certificado de e.firma".</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 xml:space="preserve">Los solicitantes que se ubiquen en el supuesto señalado en el párrafo anterior, contarán con un plazo de seis días contados a partir del día siguiente al de la presentación de la solicitud del Certificado de e.firma, para que aclaren y exhiban de </w:t>
            </w:r>
            <w:r w:rsidRPr="00C259DA">
              <w:rPr>
                <w:rFonts w:ascii="Arial" w:eastAsia="Times New Roman" w:hAnsi="Arial" w:cs="Arial"/>
                <w:color w:val="2F2F2F"/>
                <w:sz w:val="18"/>
                <w:szCs w:val="18"/>
                <w:lang w:eastAsia="es-ES"/>
              </w:rPr>
              <w:lastRenderedPageBreak/>
              <w:t>conformidad con la ficha de trámite 197/CFF "Aclaración a la solicitud del Certificado de e.firma y solicitud de la renovación del Certificado de e.firma", contenida en el Anexo 1-A, en la ADSC en la que inició el citado trámite, la documentación para la conclusión del trámite.</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En caso de que en el plazo previsto no se realice la aclaración, se tendrá por no presentada la solicitud del Certificado de e.firma.</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En la aclaración el solicitante deberá manifestar bajo protesta de decir verdad los aspectos siguientes:</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Que el domicilio manifestado en el momento de la inscripción en el RFC o último cambio de domicilio, se considera domicilio fiscal al ubicarse en cualquiera de los supuestos previstos en el artículo 10 del CFF.</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En caso de no tratarse de un inmueble propio, la relación contractual por virtud de la cual se encuentra en posesión del mismo para el desarrollo de sus actividades.</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Cuando el domicilio coincida con el de otros contribuyentes, deberá señalar el tipo de relación existente entre el solicitante y dichos contribuyentes, así como su nombre y clave en el RFC, o bien, que no existe ninguna relación entre el solicitante y los contribuyentes.</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IV.</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En el caso de personas morales, la relación que tiene el apoderado o representante legal con la persona moral de la cual pretende obtener el Certificado de e.firma, señalando su propia clave en el RFC, si su desempeño como representante se trata de una relación de trabajo subordinada o le presta servicios profesionales independientes, así como si los socios o accionistas de la persona moral de la que se pretende obtener el Certificado de e.firma, son socios o accionistas o tienen alguna relación con contribuyentes publicados por el SAT en el listado a que se refiere el artículo 69-B, tercer párrafo del CFF.</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La ADSC resolverá la aclaración en un plazo de diez días hábiles contados a partir del día hábil siguiente a aquél a que se recibió la misma. Para conocer la respuesta, el solicitante acudirá a la ADSC en la que presentó su trámite de aclaración.</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Cuando del análisis de la solicitud de aclaración y de la documentación que hubiera anexado, la aclaración haya sido procedente, la ADSC proporcionará el Certificado de e.firma, en caso contrario, se tendrá por no presentada la solicitud, dejando a salvo el derecho del contribuyente para volver a presentar el trámite.</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eastAsia="es-ES"/>
              </w:rPr>
              <w:t>CFF 10, 17-D, 69-B, RMF 2018 2.2.3</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18"/>
                <w:szCs w:val="18"/>
                <w:lang w:eastAsia="es-ES"/>
              </w:rPr>
              <w:t> </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b/>
                <w:bCs/>
                <w:color w:val="2F2F2F"/>
                <w:sz w:val="18"/>
                <w:szCs w:val="18"/>
                <w:lang w:eastAsia="es-ES"/>
              </w:rPr>
              <w:t>Saldos a favor del ISR de personas físicas</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2.3.2.</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Para los efectos de los artículos 22, 22-A y 23 del CFF, las personas físicas que presenten su declaración anual del ejercicio fiscal inmediato anterior al que se refiere la presente Resolución, mediante el formato electrónico correspondiente y determinen saldo a favor del ISR, podrán optar por solicitar a las autoridades fiscales la devolución o efectuar la compensación de dicho saldo a favor, marcando el recuadro respectivo, para considerarse dentro del Sistema Automático de Devoluciones que constituye una facilidad administrativa para los contribuyentes, siempre que se opte por ejercerla durante el ejercicio a que se refiere la presente resolución.</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Las personas físicas que opten por aplicar la facilidad anual prevista en la presente regla, además de reunir los requisitos que señalan las disposiciones fiscales, deberán:</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Presentar la declaración del ejercicio fiscal inmediato anterior al que se refiere la presente Resolución, utilizando la e.firma o la e.firma portable cuando soliciten la devolución del saldo a favor, por un importe superior a $10,000.00 (diez mil pesos 00/100 M.N.).</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Asimismo, los contribuyentes podrán utilizar la Contraseña para presentar la declaración del ejercicio inmediato anterior al que se refiere la presente Resolución en los siguientes supuestos:</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a)</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Cuando el importe del saldo a favor sea igual o menor a $10,000.00 (diez mil pesos 00/100 M.N.).</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b)</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Cuando el importe del saldo a favor sea mayor a $10,000.00 (diez mil pesos 00/100 M.N.), y no exceda de $50,000.00 (cincuenta mil pesos 00/100 M.N.), siempre y cuando el contribuyente seleccione una cuenta bancaria activa para transferencias electrónicas a 18 dígitos CLABE, a que se refiere la regla 2.3.6., la cual deberá estar a nombre del contribuyente como titular yprecargada en el aplicativo para presentar la declaración anual; de no seleccionar alguna o capturar una distinta de las precargadas, deberá presentar la citada declaración utilizando la e.firma o la e.firma portable.</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Señalar en la declaración correspondiente el número de su cuenta bancaria para transferencias electrónicas a 18 dígitos CLABE, a que se refiere la regla 2.3.6., la cual deberá estar a nombre del contribuyente como titular y activa, así como la denominación de la institución integrante del sistema financiero a la que corresponda dicha cuenta, para que, en caso de que proceda, el importe autorizado en devolución sea depositado en la misma.</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El resultado que se obtenga de la declaración que hubiere ingresado a la facilidad administrativa, estará a su disposición ingresando al buzón tributario y en caso de contribuyentes no obligados a contar con dicho buzón, o que promovieron algún medio de defensa en el que se les haya otorgado la suspensión respecto del uso de éste como medio de comunicación podrán verificar el resultado en el apartado de "Trámites" disponible en el Portal del SAT.</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Cuando el resultado que se obtenga no conlleve a la devolución total o parcial del saldo declarado, el contribuyente podrá solventar las inconsistencias detectadas en el momento de realizar la consulta del resultado, cuando se habilite la opción "solventar inconsistencias", para lo cual deberá contar con su clave en el RFC, la Contraseña para el acceso al portal y certificado de e.firma vigente o la e.firmaportable, generándose automáticamente su solicitud de devolución vía FED.</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No podrán acogerse a la facilidad prevista en esta regla, las personas físicas que:</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 xml:space="preserve">Hayan obtenido durante el ejercicio fiscal inmediato anterior al que se refiere la presente Resolución, ingresos derivados de </w:t>
            </w:r>
            <w:r w:rsidRPr="00C259DA">
              <w:rPr>
                <w:rFonts w:ascii="Arial" w:eastAsia="Times New Roman" w:hAnsi="Arial" w:cs="Arial"/>
                <w:color w:val="2F2F2F"/>
                <w:sz w:val="18"/>
                <w:szCs w:val="18"/>
                <w:lang w:eastAsia="es-ES"/>
              </w:rPr>
              <w:lastRenderedPageBreak/>
              <w:t>bienes o negocios en copropiedad, sociedad conyugal o sucesión.</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Opten por solicitar devolución de saldo a favor por montos superiores a $50,000.00. (cincuenta mil pesos 00/100 M.N.).</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Soliciten la devolución por ejercicios fiscales distintos al año inmediato anterior al que se refiere la presente Resolución.</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color w:val="2F2F2F"/>
                <w:sz w:val="18"/>
                <w:szCs w:val="18"/>
                <w:lang w:eastAsia="es-ES"/>
              </w:rPr>
              <w:t> </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IV.</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Presenten la declaración del ejercicio fiscal inmediato anterior al que se refiere la presente Resolución, con la Contraseña, estando obligadas a utilizar la e.firma o la e.firma portable, en los términos de la presente regla.</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V.</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Presente solicitud de devolución vía FED, previo a la obtención del resultado de la declaración que hubiere ingresado a la facilidad administrativa.</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Los contribuyentes que no se ubiquen en los supuestos para aplicar la facilidad prevista en la presente regla o cuando el resultado que obtenga de su solicitud no conlleve a la devolución total del saldo declarado y no hubieren optado por "solventar las inconsistencias" al consultar el resultado de la devolución automática, podrán solicitar la devolución de su saldo a favor o del remanente no autorizado según corresponda a través del FED;ingresando al "Buzón Tributario" o a través del apartado de "Trámites" disponible en el Portal del SAT, para lo cual deberán contar con su clave en el RFC, la Contraseña para el acceso al portal y certificado de e.firma vigente o la e.firma portable para realizar su envío.</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Cuando en la declaración presentada se haya marcado erróneamente el recuadro "devolución" cuando en realidad se quiso elegir "compensación", o bien se marcó "compensación" pero no se tengan impuestos a cargo o créditos fiscales contra que compensar, podrá cambiarse de opción presentando la declaración complementaria del ejercicio señalando dicho cambio.</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Cuando se trate de ingresos por salarios y en general por la prestación de un servicio personal subordinado y el saldo a favor derive únicamente de la aplicación de las deducciones personales previstas en la Ley del ISR, la facilidad prevista en esta regla se podrá ejercer a través de la citada declaración anual que se presente aún sin tener dicha obligación conforme al artículo 98, fracción III de la Ley del ISR y con independencia de que tal situación se haya comunicado o no al retenedor.</w:t>
            </w:r>
          </w:p>
          <w:p w:rsidR="00C259DA" w:rsidRPr="00C259DA" w:rsidRDefault="00C259DA" w:rsidP="00C259DA">
            <w:pPr>
              <w:spacing w:after="101" w:line="240" w:lineRule="auto"/>
              <w:ind w:hanging="1152"/>
              <w:jc w:val="both"/>
              <w:rPr>
                <w:rFonts w:ascii="Arial" w:eastAsia="Times New Roman" w:hAnsi="Arial" w:cs="Arial"/>
                <w:color w:val="2F2F2F"/>
                <w:sz w:val="18"/>
                <w:szCs w:val="18"/>
                <w:lang w:val="en-US"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val="en-US" w:eastAsia="es-ES"/>
              </w:rPr>
              <w:t>CFF 18, 22, 22-A, 22-B, 23, LISR 97, 98, 151, RMF 2018 2.3.6.</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val="en-US" w:eastAsia="es-ES"/>
              </w:rPr>
              <w:t>                   </w:t>
            </w:r>
            <w:r w:rsidRPr="00C259DA">
              <w:rPr>
                <w:rFonts w:ascii="Arial" w:eastAsia="Times New Roman" w:hAnsi="Arial" w:cs="Arial"/>
                <w:b/>
                <w:bCs/>
                <w:color w:val="2F2F2F"/>
                <w:sz w:val="18"/>
                <w:szCs w:val="18"/>
                <w:lang w:eastAsia="es-ES"/>
              </w:rPr>
              <w:t>Cumplimiento de la obligación de presentar aviso de compensación</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2.3.13.</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Los contribuyentes que presenten sus declaraciones de pagos provisionales, definitivos o anuales a través del "Servicio de Declaraciones y Pagos" a que se refiere el Capítulo 2.9. y la Sección 2.8.5., en las que les resulte saldo a cargo y opten por pagarlo mediante compensación de saldos a favor manifestados en declaraciones de pagos provisionales, definitivos o anuales presentados de igual forma a través del "Servicio de Declaraciones yPagos", tendrán por cumplida la obligación de presentar el aviso de compensación, así como los anexos a que se refiere la regla 2.3.10.</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No obstante lo anterior, tratándose de contribuyentes personas físicas que tributan en el Título IV, Capítulo II, Sección II de la Ley del ISR, deberán presentar la información que señala la regla 2.3.10., fracción II.</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eastAsia="es-ES"/>
              </w:rPr>
              <w:t>CFF 23, 31, 32-A, RMF 2018 2.3.10., 2.8.5., 2.9.</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b/>
                <w:bCs/>
                <w:color w:val="2F2F2F"/>
                <w:sz w:val="18"/>
                <w:szCs w:val="18"/>
                <w:lang w:eastAsia="es-ES"/>
              </w:rPr>
              <w:t>Requisitos para la solicitud de inscripción en el RFC</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2.4.8.</w:t>
            </w:r>
            <w:r w:rsidRPr="00C259DA">
              <w:rPr>
                <w:rFonts w:ascii="Arial" w:eastAsia="Times New Roman" w:hAnsi="Arial" w:cs="Arial"/>
                <w:color w:val="2F2F2F"/>
                <w:sz w:val="20"/>
                <w:szCs w:val="20"/>
                <w:lang w:eastAsia="es-ES"/>
              </w:rPr>
              <w:t>           </w:t>
            </w:r>
            <w:r w:rsidRPr="00C259DA">
              <w:rPr>
                <w:rFonts w:ascii="Arial" w:eastAsia="Times New Roman" w:hAnsi="Arial" w:cs="Arial"/>
                <w:b/>
                <w:bCs/>
                <w:color w:val="2F2F2F"/>
                <w:sz w:val="18"/>
                <w:szCs w:val="18"/>
                <w:lang w:eastAsia="es-ES"/>
              </w:rPr>
              <w:t>(Se deroga)</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b/>
                <w:bCs/>
                <w:color w:val="2F2F2F"/>
                <w:sz w:val="18"/>
                <w:szCs w:val="18"/>
                <w:lang w:eastAsia="es-ES"/>
              </w:rPr>
              <w:t>Contribuyentes relevados de presentar el aviso de inicio de liquidación y el de cancelación en el RFC por liquidación total del activo</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2.5.21.</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Para los efectos del artículo 27, primer y décimo primer párrafos del CFF, en relación con los artículos 29, fracciones X y XIV, y 30, fracciones VII y XI de su Reglamento, cuando las personas morales lleven a cabo su disolución y liquidación a través del Portal www.gob.mx/Tuempresa resultando procedente con base en la información con que cuente la Secretaría de Economía, y una vez que el SAT verifique que dichas personas se encuentren al corriente en el cumplimiento de sus obligaciones fiscales, se ajusten a la normatividad fiscalaplicable, no se encuentren en facultades de comprobación por la autoridad fiscal y hayan indicado en el mencionado Portal que su domicilio fiscal es el mismo que se encuentra registrado en el SAT, podrán quedar relevados de presentar tanto el aviso de inicio de liquidación como el de cancelación en el RFC por liquidación total de activo.</w:t>
            </w:r>
          </w:p>
          <w:p w:rsidR="00C259DA" w:rsidRPr="00C259DA" w:rsidRDefault="00C259DA" w:rsidP="00C259DA">
            <w:pPr>
              <w:spacing w:after="86"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18"/>
                <w:szCs w:val="18"/>
                <w:lang w:eastAsia="es-ES"/>
              </w:rPr>
              <w:t> </w:t>
            </w:r>
          </w:p>
          <w:p w:rsidR="00C259DA" w:rsidRPr="00C259DA" w:rsidRDefault="00C259DA" w:rsidP="00C259DA">
            <w:pPr>
              <w:spacing w:after="86"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Una vez cumplido lo que establece el párrafo primero de la presente regla, el SAT, a través del buzón tributario podrá notificar al contribuyente sobre la procedencia de haber quedado relevado o no de presentar el aviso de inicio de liquidación. Posteriormente, se notificará al contribuyente sobre quedar relevado o no de presentar el aviso de cancelación en el RFC por liquidación total del activo dentro del plazo de diez días hábiles contado a partir del día hábil siguiente a aquél en el que la Secretaría de Economía haya avisado al SAT que realizó la inscripción de la cancelación del folio de la sociedad en el Registro Público de Comercio.</w:t>
            </w:r>
          </w:p>
          <w:p w:rsidR="00C259DA" w:rsidRPr="00C259DA" w:rsidRDefault="00C259DA" w:rsidP="00C259DA">
            <w:pPr>
              <w:spacing w:after="86"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En el caso de que las personas morales decidan no concluir su liquidación en el Portal www.gob.mx/Tuempresa, el SAT no tendrá por presentados los avisos de inicio de liquidación, y el de cancelación en el RFC por liquidación total de activo, por lo que tendrá que acudir a la ADSC y cumplir con la normatividad fiscal aplicable para tal efecto.</w:t>
            </w:r>
          </w:p>
          <w:p w:rsidR="00C259DA" w:rsidRPr="00C259DA" w:rsidRDefault="00C259DA" w:rsidP="00C259DA">
            <w:pPr>
              <w:spacing w:after="86"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eastAsia="es-ES"/>
              </w:rPr>
              <w:t>CFF 27, RCFF 29, 30</w:t>
            </w:r>
          </w:p>
          <w:p w:rsidR="00C259DA" w:rsidRPr="00C259DA" w:rsidRDefault="00C259DA" w:rsidP="00C259DA">
            <w:pPr>
              <w:spacing w:after="86"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b/>
                <w:bCs/>
                <w:color w:val="2F2F2F"/>
                <w:sz w:val="18"/>
                <w:szCs w:val="18"/>
                <w:lang w:eastAsia="es-ES"/>
              </w:rPr>
              <w:t>Expedición de comprobantes en operaciones con el público en general</w:t>
            </w:r>
          </w:p>
          <w:p w:rsidR="00C259DA" w:rsidRPr="00C259DA" w:rsidRDefault="00C259DA" w:rsidP="00C259DA">
            <w:pPr>
              <w:spacing w:after="86"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2.7.1.24.</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 xml:space="preserve">Para los efectos de los artículos 29 y 29-A, fracción IV, segundo párrafo del CFF y 39 del Reglamento del CFF, los contribuyentes podrán elaborar un CFDI diario, semanal o mensual donde consten los importes correspondientes a cada una de las operaciones realizadas con el público en general del periodo al que corresponda y el número de folio o de </w:t>
            </w:r>
            <w:r w:rsidRPr="00C259DA">
              <w:rPr>
                <w:rFonts w:ascii="Arial" w:eastAsia="Times New Roman" w:hAnsi="Arial" w:cs="Arial"/>
                <w:color w:val="2F2F2F"/>
                <w:sz w:val="18"/>
                <w:szCs w:val="18"/>
                <w:lang w:eastAsia="es-ES"/>
              </w:rPr>
              <w:lastRenderedPageBreak/>
              <w:t>operación de los comprobantes de operaciones con el público en general que se hubieran emitido, utilizando para ello la clave genérica en el RFC a que se refiere la regla 2.7.1.26. Los contribuyentes que tributen en el RIF podrán elaborar el CFDI de referencia de forma bimestral a través de la aplicación electrónica "Mis cuentas", incluyendo únicamente el monto total de las operaciones del bimestre y el periodo correspondiente.</w:t>
            </w:r>
          </w:p>
          <w:p w:rsidR="00C259DA" w:rsidRPr="00C259DA" w:rsidRDefault="00C259DA" w:rsidP="00C259DA">
            <w:pPr>
              <w:spacing w:after="86"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Por las operaciones a que se refiere el párrafo anterior, se deberán expedir los comprobantes de operaciones con el público en general, mismos que deberán contener los requisitos del artículo 29-A, fracciones I y III del CFF, así como el valor total de los actos o actividades realizados, la cantidad, la clase de los bienes o mercancías o descripción del servicio o del uso o goce que amparen y cuando así proceda, el número de registro de la máquina, equipo o sistema y, en su caso, el logotipo fiscal.</w:t>
            </w:r>
          </w:p>
          <w:p w:rsidR="00C259DA" w:rsidRPr="00C259DA" w:rsidRDefault="00C259DA" w:rsidP="00C259DA">
            <w:pPr>
              <w:spacing w:after="86"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Los comprobantes de operaciones con el público en general podrán expedirse en alguna de las formas siguientes:</w:t>
            </w:r>
          </w:p>
          <w:p w:rsidR="00C259DA" w:rsidRPr="00C259DA" w:rsidRDefault="00C259DA" w:rsidP="00C259DA">
            <w:pPr>
              <w:spacing w:after="86"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Comprobantes impresos en original y copia, debiendo contener impreso el número de folio en forma consecutiva previamente a su utilización. La copia se entregará al interesado y los originales se conservarán por el contribuyente que los expide.</w:t>
            </w:r>
          </w:p>
          <w:p w:rsidR="00C259DA" w:rsidRPr="00C259DA" w:rsidRDefault="00C259DA" w:rsidP="00C259DA">
            <w:pPr>
              <w:spacing w:after="86"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Comprobantes consistentes en copia de la parte de los registros de auditoría de sus máquinas registradoras, en la que aparezca el importe de las operaciones de que se trate y siempre que los registros de auditoría contengan el orden consecutivo de operaciones y el resumen total de las ventas diarias, revisado y firmado por el auditor interno de la empresa o por el contribuyente.</w:t>
            </w:r>
          </w:p>
          <w:p w:rsidR="00C259DA" w:rsidRPr="00C259DA" w:rsidRDefault="00C259DA" w:rsidP="00C259DA">
            <w:pPr>
              <w:spacing w:after="86"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Comprobantes emitidos por los equipos de registro de operaciones con el público en general, siempre que cumplan con los requisitos siguientes:</w:t>
            </w:r>
          </w:p>
          <w:p w:rsidR="00C259DA" w:rsidRPr="00C259DA" w:rsidRDefault="00C259DA" w:rsidP="00C259DA">
            <w:pPr>
              <w:spacing w:after="86"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a)</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Contar con sistemas de registro contable electrónico que permitan identificar en forma expresa el valor total de las operaciones celebradas cada día con el público en general, así como el monto de los impuestos trasladados en dichas operaciones.</w:t>
            </w:r>
          </w:p>
          <w:p w:rsidR="00C259DA" w:rsidRPr="00C259DA" w:rsidRDefault="00C259DA" w:rsidP="00C259DA">
            <w:pPr>
              <w:spacing w:after="86"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b)</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Que los equipos para el registro de las operaciones con el público en general cumplan con los siguientes requisitos:</w:t>
            </w:r>
          </w:p>
          <w:p w:rsidR="00C259DA" w:rsidRPr="00C259DA" w:rsidRDefault="00C259DA" w:rsidP="00C259DA">
            <w:pPr>
              <w:spacing w:after="86"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1.</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Contar con un dispositivo que acumule el valor de las operaciones celebradas durante el día, así como el monto de los impuestos trasladados en dichas operaciones.</w:t>
            </w:r>
          </w:p>
          <w:p w:rsidR="00C259DA" w:rsidRPr="00C259DA" w:rsidRDefault="00C259DA" w:rsidP="00C259DA">
            <w:pPr>
              <w:spacing w:after="86"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2.</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Contar con un acceso que permita a las autoridades fiscales consultar la información contenida en el dispositivo mencionado.</w:t>
            </w:r>
          </w:p>
          <w:p w:rsidR="00C259DA" w:rsidRPr="00C259DA" w:rsidRDefault="00C259DA" w:rsidP="00C259DA">
            <w:pPr>
              <w:spacing w:after="86"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3.</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Contar con la capacidad de emitir comprobantes que reúnan los requisitos a que se refiere el inciso a) de la presente fracción.</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4.</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Contar con la capacidad de efectuar en forma automática, al final del día, el registro contable en las cuentas y subcuentas afectadas por cada operación, y de emitir un reporte global diario.</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18"/>
                <w:szCs w:val="18"/>
                <w:lang w:eastAsia="es-ES"/>
              </w:rPr>
              <w:t> </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Para los efectos del CFDI donde consten las operaciones realizadas con el público en general, los contribuyentes podrán remitir al SAT o al proveedor de certificación de CFDI, según sea el caso, el CFDI a más tardar dentro de las 72 horas siguientes al cierre de las operaciones realizadas de manera diaria, semanal, mensual o bimestral.</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En los CFDI globales se deberá separar el monto del IVA e IEPS a cargo del contribuyente.</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Cuando los adquirentes de los bienes o receptores de los servicios no soliciten comprobantes de operaciones realizadas con el público en general, los contribuyentes no estarán obligados a expedirlos por operaciones celebradas con el público en general, cuyo importe sea inferior a $100.00 (cien pesos 00/100 M.N.), o bien, inferior a $250.00 (doscientos cincuenta pesos 00/100 M.N.) tratándose de contribuyentes que tributen en elRIF, acorde a lo dispuesto en el artículo 112, fracción IV, segundo párrafo de la Ley del ISR.</w:t>
            </w:r>
          </w:p>
          <w:p w:rsidR="00C259DA" w:rsidRPr="00C259DA" w:rsidRDefault="00C259DA" w:rsidP="00C259DA">
            <w:pPr>
              <w:spacing w:after="101" w:line="240" w:lineRule="auto"/>
              <w:ind w:hanging="1152"/>
              <w:jc w:val="both"/>
              <w:rPr>
                <w:rFonts w:ascii="Arial" w:eastAsia="Times New Roman" w:hAnsi="Arial" w:cs="Arial"/>
                <w:color w:val="2F2F2F"/>
                <w:sz w:val="18"/>
                <w:szCs w:val="18"/>
                <w:lang w:val="en-US"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val="en-US" w:eastAsia="es-ES"/>
              </w:rPr>
              <w:t>CFF 29, 29-A, RCFF39, LISR 112, RMF 2018 2.7.1.26., 2.8.1.5.</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val="en-US" w:eastAsia="es-ES"/>
              </w:rPr>
              <w:t>                   </w:t>
            </w:r>
            <w:r w:rsidRPr="00C259DA">
              <w:rPr>
                <w:rFonts w:ascii="Arial" w:eastAsia="Times New Roman" w:hAnsi="Arial" w:cs="Arial"/>
                <w:b/>
                <w:bCs/>
                <w:color w:val="2F2F2F"/>
                <w:sz w:val="18"/>
                <w:szCs w:val="18"/>
                <w:lang w:eastAsia="es-ES"/>
              </w:rPr>
              <w:t>Integración de la clave vehicular</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2.7.1.30.</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Para los efectos del artículo 29-A, fracción V, segundo párrafo, inciso e) del CFF, la clave vehicular se integrará, de izquierda a derecha, por los siete caracteres numéricos o alfabéticos siguientes:</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El primer caracter será el número que corresponda al vehículo en la siguiente clasificación:</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color w:val="2F2F2F"/>
                <w:sz w:val="18"/>
                <w:szCs w:val="18"/>
                <w:lang w:eastAsia="es-ES"/>
              </w:rPr>
              <w:t>0</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Automóviles.</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color w:val="2F2F2F"/>
                <w:sz w:val="18"/>
                <w:szCs w:val="18"/>
                <w:lang w:eastAsia="es-ES"/>
              </w:rPr>
              <w:t>1</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Camionetas.</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color w:val="2F2F2F"/>
                <w:sz w:val="18"/>
                <w:szCs w:val="18"/>
                <w:lang w:eastAsia="es-ES"/>
              </w:rPr>
              <w:t>2</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Camiones.</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color w:val="2F2F2F"/>
                <w:sz w:val="18"/>
                <w:szCs w:val="18"/>
                <w:lang w:eastAsia="es-ES"/>
              </w:rPr>
              <w:t>3</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Vehículos importados a la región fronteriza.</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color w:val="2F2F2F"/>
                <w:sz w:val="18"/>
                <w:szCs w:val="18"/>
                <w:lang w:eastAsia="es-ES"/>
              </w:rPr>
              <w:t>4</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Vehículos importados de la Unión Europea por personas físicas con actividades empresariales o por personas morales distintas de fabricantes o distribuidores autorizados.</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color w:val="2F2F2F"/>
                <w:sz w:val="18"/>
                <w:szCs w:val="18"/>
                <w:lang w:eastAsia="es-ES"/>
              </w:rPr>
              <w:t>5</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Vehículos importados del Mercado Común del Sur por personas físicas con actividades empresariales o por personas morales distintas de fabricantes o distribuidores autorizados.</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color w:val="2F2F2F"/>
                <w:sz w:val="18"/>
                <w:szCs w:val="18"/>
                <w:lang w:eastAsia="es-ES"/>
              </w:rPr>
              <w:t>6</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Vehículos híbridos. Tratándose de automóviles, camionetas y camiones.</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color w:val="2F2F2F"/>
                <w:sz w:val="18"/>
                <w:szCs w:val="18"/>
                <w:lang w:eastAsia="es-ES"/>
              </w:rPr>
              <w:t>9</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Vehículos eléctricos. Tratándose de automóviles, camionetas y camiones.</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 xml:space="preserve">Los caracteres numéricos segundo y tercero, serán los que correspondan al número de empresa que sea asignado en los </w:t>
            </w:r>
            <w:r w:rsidRPr="00C259DA">
              <w:rPr>
                <w:rFonts w:ascii="Arial" w:eastAsia="Times New Roman" w:hAnsi="Arial" w:cs="Arial"/>
                <w:color w:val="2F2F2F"/>
                <w:sz w:val="18"/>
                <w:szCs w:val="18"/>
                <w:lang w:eastAsia="es-ES"/>
              </w:rPr>
              <w:lastRenderedPageBreak/>
              <w:t>términos de la regla 8.7. o el número 98 tratándose de ensambladores o importadores de camiones nuevos.</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Tratándose de vehículos importados, los caracteres numéricos segundo y tercero, serán los que correspondan a su procedencia conforme a lo siguiente:</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97</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Mercado Común del Sur.</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99</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Unión Europea.</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Los caracteres numéricos o alfabéticos cuarto y quinto, serán los que correspondan al número de modelo del vehículo de que se trate o el que asigne la Unidad de Política de Ingresos Tributarios de la Secretaría en los términos de la ficha de trámite 3/ISAN "Solicitud de los caracteres 4o. y 5o. correspondientes al modelo del vehículo para integrar la clave vehicular", contenida en el Anexo 1-A,según se trate.</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IV.</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Los caracteres numéricos o alfabéticos sexto y séptimo, serán los que correspondan a la versión del vehículo de que se trate.</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V.</w:t>
            </w:r>
            <w:r w:rsidRPr="00C259DA">
              <w:rPr>
                <w:rFonts w:ascii="Arial" w:eastAsia="Times New Roman" w:hAnsi="Arial" w:cs="Arial"/>
                <w:color w:val="2F2F2F"/>
                <w:sz w:val="20"/>
                <w:szCs w:val="20"/>
                <w:lang w:eastAsia="es-ES"/>
              </w:rPr>
              <w:t>         </w:t>
            </w:r>
            <w:r w:rsidRPr="00C259DA">
              <w:rPr>
                <w:rFonts w:ascii="Arial" w:eastAsia="Times New Roman" w:hAnsi="Arial" w:cs="Arial"/>
                <w:b/>
                <w:bCs/>
                <w:color w:val="2F2F2F"/>
                <w:sz w:val="18"/>
                <w:szCs w:val="18"/>
                <w:lang w:eastAsia="es-ES"/>
              </w:rPr>
              <w:t>(Se deroga)</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eastAsia="es-ES"/>
              </w:rPr>
              <w:t>CFF 29-A, RMF 2018 8.7.</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18"/>
                <w:szCs w:val="18"/>
                <w:lang w:eastAsia="es-ES"/>
              </w:rPr>
              <w:t> </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b/>
                <w:bCs/>
                <w:color w:val="2F2F2F"/>
                <w:sz w:val="18"/>
                <w:szCs w:val="18"/>
                <w:lang w:eastAsia="es-ES"/>
              </w:rPr>
              <w:t>Facilidad para emitir CFDI sin mencionar los datos del pedimento de importación</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2.7.1.34.</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Para los efectos del artículo 29-A, fracción VIII del CFF, los contribuyentes que importen o exporten mercancías por medio de tuberías o cables, así como aquéllos que promuevan el despacho de las mercancías mediante pedimentos consolidados en términos de la regla 3.7.33. de las Reglas Generales de Comercio Exterior para 2018, quedarán relevados de señalar en los CFDI que expidan, el número y la fecha del documento aduanero a que hace referencia la fracción</w:t>
            </w:r>
            <w:r w:rsidRPr="00C259DA">
              <w:rPr>
                <w:rFonts w:ascii="Arial" w:eastAsia="Times New Roman" w:hAnsi="Arial" w:cs="Arial"/>
                <w:b/>
                <w:bCs/>
                <w:color w:val="2F2F2F"/>
                <w:sz w:val="18"/>
                <w:szCs w:val="18"/>
                <w:lang w:eastAsia="es-ES"/>
              </w:rPr>
              <w:t> </w:t>
            </w:r>
            <w:r w:rsidRPr="00C259DA">
              <w:rPr>
                <w:rFonts w:ascii="Arial" w:eastAsia="Times New Roman" w:hAnsi="Arial" w:cs="Arial"/>
                <w:color w:val="2F2F2F"/>
                <w:sz w:val="18"/>
                <w:szCs w:val="18"/>
                <w:lang w:eastAsia="es-ES"/>
              </w:rPr>
              <w:t>citada, exclusivamente respecto de tales importaciones o exportaciones.</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eastAsia="es-ES"/>
              </w:rPr>
              <w:t>CFF 29-A, LA 84, Reglas Generales de Comercio Exterior 2018 3.7.33.</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b/>
                <w:bCs/>
                <w:color w:val="2F2F2F"/>
                <w:sz w:val="18"/>
                <w:szCs w:val="18"/>
                <w:lang w:eastAsia="es-ES"/>
              </w:rPr>
              <w:t>Aceptación del receptor para la cancelación del CFDI</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2.7.1.38.</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Para los efectos de los artículos 29-A, cuarto y quinto párrafos del CFF y Sexto, fracción I de las Disposiciones Transitorias del CFF, previsto en el "Decreto por el que se reforman, adicionan y derogan diversas disposiciones de la Ley del Impuesto sobre la Renta, de la Ley del Impuesto al Valor Agregado, del Código Fiscal de la Federación y de la Ley Federal del Impuesto Sobre Automóviles Nuevos" publicado en el DOF el 30 de noviembre de 2016, cuando el emisor de un CFDI requiera cancelarlo, podrá solicitar la cancelación a través delPortal del SAT en Internet.</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El receptor del comprobante fiscal, recibirá un mensaje a través del buzón tributario indicándole que tiene una solicitud de cancelación de un CFDI, por lo que deberá manifestar a través del Portal del SAT, a más tardar dentro de los tres días siguientes contados a partir de la recepción de la solicitud de cancelación de CFDI, la aceptación o negación de la cancelación del CFDI.</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El SAT considerará que el receptor acepta la cancelación del CFDI si transcurrido el plazo a que se refiere el párrafo anterior, no realiza manifestación alguna.</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El SAT publicará en su portal las características y especificaciones técnicas a través de las cuales los contribuyentes podrán dar trámite a las solicitudes de cancelación solicitadas a través del citado órgano desconcentrado.</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Cuando se cancele un CFDI que tiene relacionados otros CFDI, éstos deben cancelarse previamente. En el supuesto de que se cancele un CFDI aplicando la facilidad prevista en esta regla, pero la operación subsista emitirá un nuevo CFDI que estará relacionado con el cancelado de acuerdo con la guía de llenado de los CFDI que señala el Anexo 20.</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Los contribuyentes también podrán realizar la cancelación del CFDI de forma masiva, observando para ello las características y especificaciones técnicas que para ello se publiquen en el Portal del SAT, debiendo contar para tal efecto con la aceptación del receptor de los comprobantes, de conformidad con lo señalado en el segundo y tercer párrafo de esta regla.</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eastAsia="es-ES"/>
              </w:rPr>
              <w:t>CFF 29-A, Disposiciones Transitorias Sexto</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b/>
                <w:bCs/>
                <w:color w:val="2F2F2F"/>
                <w:sz w:val="18"/>
                <w:szCs w:val="18"/>
                <w:lang w:eastAsia="es-ES"/>
              </w:rPr>
              <w:t>Expedición del CFDI por concepto de nómina por contribuyentes que utilicen "Mis cuentas"</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2.7.5.5.</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Para los efectos del artículo</w:t>
            </w:r>
            <w:r w:rsidRPr="00C259DA">
              <w:rPr>
                <w:rFonts w:ascii="Arial" w:eastAsia="Times New Roman" w:hAnsi="Arial" w:cs="Arial"/>
                <w:b/>
                <w:bCs/>
                <w:color w:val="2F2F2F"/>
                <w:sz w:val="18"/>
                <w:szCs w:val="18"/>
                <w:lang w:eastAsia="es-ES"/>
              </w:rPr>
              <w:t> </w:t>
            </w:r>
            <w:r w:rsidRPr="00C259DA">
              <w:rPr>
                <w:rFonts w:ascii="Arial" w:eastAsia="Times New Roman" w:hAnsi="Arial" w:cs="Arial"/>
                <w:color w:val="2F2F2F"/>
                <w:sz w:val="18"/>
                <w:szCs w:val="18"/>
                <w:lang w:eastAsia="es-ES"/>
              </w:rPr>
              <w:t>29, primer párrafo del CFF, en relación con los artículos 94, fracciones IV, V y VI, 99, fracción III, 111, sexto párrafo y 112, fracciones VI y VII de la Ley del ISR, así como la regla 2.7.1.21., los contribuyentes que utilicen la herramienta electrónica disponible en el Portal del SAT "Mis Cuentas" y que tributen conforme al artículo 74, fracción III y Título IV, Capítulos II y III de la Ley del ISR, así como las Asociaciones Religiosas a que se refiere el Título III del citado ordenamiento, podrán expedir CFDI por lasremuneraciones que cubran a sus trabajadores o a quienes se asimilan a salarios, a través de "Mis Cuentas"apartado "Mi nómina" sección "Recibo de nómina" del Portal del SAT. A dichos comprobantes se les incorporará el sello digital del SAT, así como el complemento de nómina.</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La presente facilidad aplicará cuando los contribuyentes a que se refiere el párrafo anterior se apeguen a las políticas establecidas para el uso de la aplicación que estarán disponibles en "Mis Cuentas" apartado "Mi nómina" sección "Datos del patrón" en el Portal del SAT.</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eastAsia="es-ES"/>
              </w:rPr>
              <w:t>CFF 29, LISR 74, 94, 99, 111, 112, RMF 2018 </w:t>
            </w:r>
            <w:r w:rsidRPr="00C259DA">
              <w:rPr>
                <w:rFonts w:ascii="Arial" w:eastAsia="Times New Roman" w:hAnsi="Arial" w:cs="Arial"/>
                <w:color w:val="2F2F2F"/>
                <w:sz w:val="18"/>
                <w:szCs w:val="18"/>
                <w:lang w:eastAsia="es-ES"/>
              </w:rPr>
              <w:t>2.7.1.21.</w:t>
            </w:r>
          </w:p>
          <w:p w:rsidR="00C259DA" w:rsidRPr="00C259DA" w:rsidRDefault="00C259DA" w:rsidP="00C259DA">
            <w:pPr>
              <w:spacing w:after="74"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18"/>
                <w:szCs w:val="18"/>
                <w:lang w:eastAsia="es-ES"/>
              </w:rPr>
              <w:t> </w:t>
            </w:r>
          </w:p>
          <w:p w:rsidR="00C259DA" w:rsidRPr="00C259DA" w:rsidRDefault="00C259DA" w:rsidP="00C259DA">
            <w:pPr>
              <w:spacing w:after="74"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b/>
                <w:bCs/>
                <w:color w:val="2F2F2F"/>
                <w:sz w:val="18"/>
                <w:szCs w:val="18"/>
                <w:lang w:eastAsia="es-ES"/>
              </w:rPr>
              <w:t>Dispensa de garantizar el interés fiscal</w:t>
            </w:r>
          </w:p>
          <w:p w:rsidR="00C259DA" w:rsidRPr="00C259DA" w:rsidRDefault="00C259DA" w:rsidP="00C259DA">
            <w:pPr>
              <w:spacing w:after="74"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2.14.5.</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 xml:space="preserve">Para los efectos del artículo 66-A, fracción III, segundo párrafo del CFF, tratándose del pago a plazos, ya sea en </w:t>
            </w:r>
            <w:r w:rsidRPr="00C259DA">
              <w:rPr>
                <w:rFonts w:ascii="Arial" w:eastAsia="Times New Roman" w:hAnsi="Arial" w:cs="Arial"/>
                <w:color w:val="2F2F2F"/>
                <w:sz w:val="18"/>
                <w:szCs w:val="18"/>
                <w:lang w:eastAsia="es-ES"/>
              </w:rPr>
              <w:lastRenderedPageBreak/>
              <w:t>parcialidades o diferido, se podrá dispensar a los contribuyentes de la obligación de garantizar el interés fiscal, en cualquiera de los siguientes casos:</w:t>
            </w:r>
          </w:p>
          <w:p w:rsidR="00C259DA" w:rsidRPr="00C259DA" w:rsidRDefault="00C259DA" w:rsidP="00C259DA">
            <w:pPr>
              <w:spacing w:after="74"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Cuando el crédito fiscal corresponda a la declaración anual de personas físicas por ISR, siempre que el número de parcialidades solicitadas sea igual o menor a seis y que dicha declaración se presente dentro del plazo establecido en el artículo 150 de la Ley del ISR.</w:t>
            </w:r>
          </w:p>
          <w:p w:rsidR="00C259DA" w:rsidRPr="00C259DA" w:rsidRDefault="00C259DA" w:rsidP="00C259DA">
            <w:pPr>
              <w:spacing w:after="74"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Cuando los contribuyentes soliciten el pago a plazos en forma diferida y éste les sea autorizado.</w:t>
            </w:r>
          </w:p>
          <w:p w:rsidR="00C259DA" w:rsidRPr="00C259DA" w:rsidRDefault="00C259DA" w:rsidP="00C259DA">
            <w:pPr>
              <w:spacing w:after="74"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Cuando los contribuyentes realicen pago en parcialidades en términos de la regla 2.14.1., siempre y cuando cumplan en tiempo y montos con todas las parcialidades a que se refiere la citada regla.</w:t>
            </w:r>
          </w:p>
          <w:p w:rsidR="00C259DA" w:rsidRPr="00C259DA" w:rsidRDefault="00C259DA" w:rsidP="00C259DA">
            <w:pPr>
              <w:spacing w:after="74"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En caso de que el contribuyente no cumpla en tiempo y monto con dos parcialidades la autoridad fiscal exigirá la garantía del interés fiscal y si no se otorga se revocará la autorización del pago a plazos en parcialidades.</w:t>
            </w:r>
          </w:p>
          <w:p w:rsidR="00C259DA" w:rsidRPr="00C259DA" w:rsidRDefault="00C259DA" w:rsidP="00C259DA">
            <w:pPr>
              <w:spacing w:after="74"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La dispensa de garantizar el interés fiscal a que se refiere la presente regla no aplicará respecto de adeudos que se pretendan cubrir en parcialidades o de forma diferida, que estén relacionados, inmersos o deriven de la comisión de algún delito de carácter fiscal, por el cual se haya presentado la denuncia o querella respectiva.</w:t>
            </w:r>
          </w:p>
          <w:p w:rsidR="00C259DA" w:rsidRPr="00C259DA" w:rsidRDefault="00C259DA" w:rsidP="00C259DA">
            <w:pPr>
              <w:spacing w:after="74"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eastAsia="es-ES"/>
              </w:rPr>
              <w:t>CFF 66-A, LISR 150, RMF 2018 2.14.1.</w:t>
            </w:r>
          </w:p>
          <w:p w:rsidR="00C259DA" w:rsidRPr="00C259DA" w:rsidRDefault="00C259DA" w:rsidP="00C259DA">
            <w:pPr>
              <w:spacing w:after="74"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b/>
                <w:bCs/>
                <w:color w:val="2F2F2F"/>
                <w:sz w:val="18"/>
                <w:szCs w:val="18"/>
                <w:lang w:eastAsia="es-ES"/>
              </w:rPr>
              <w:t>De la certificación del órgano</w:t>
            </w:r>
          </w:p>
          <w:p w:rsidR="00C259DA" w:rsidRPr="00C259DA" w:rsidRDefault="00C259DA" w:rsidP="00C259DA">
            <w:pPr>
              <w:spacing w:after="74"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2.21.7.</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Para los efectos del artículo 32-I del CFF, los órganos certificadores estarán a lo siguiente:</w:t>
            </w:r>
          </w:p>
          <w:p w:rsidR="00C259DA" w:rsidRPr="00C259DA" w:rsidRDefault="00C259DA" w:rsidP="00C259DA">
            <w:pPr>
              <w:spacing w:after="74"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La certificación consiste en verificar que los autorizados por el SAT:</w:t>
            </w:r>
          </w:p>
          <w:p w:rsidR="00C259DA" w:rsidRPr="00C259DA" w:rsidRDefault="00C259DA" w:rsidP="00C259DA">
            <w:pPr>
              <w:spacing w:after="74"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a)</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Cumplen con los requisitos y obligaciones a su cargo.</w:t>
            </w:r>
          </w:p>
          <w:p w:rsidR="00C259DA" w:rsidRPr="00C259DA" w:rsidRDefault="00C259DA" w:rsidP="00C259DA">
            <w:pPr>
              <w:spacing w:after="74"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b)</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Han dado cumplimiento a las obligaciones fiscales establecidas en las disposiciones aplicables, respecto de la autorización que les fue otorgada.</w:t>
            </w:r>
          </w:p>
          <w:p w:rsidR="00C259DA" w:rsidRPr="00C259DA" w:rsidRDefault="00C259DA" w:rsidP="00C259DA">
            <w:pPr>
              <w:spacing w:after="74"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c)</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En materia de tecnologías de la información cumplen con la confidencialidad, integridad, disponibilidad, consistencia y seguridad de la información.</w:t>
            </w:r>
          </w:p>
          <w:p w:rsidR="00C259DA" w:rsidRPr="00C259DA" w:rsidRDefault="00C259DA" w:rsidP="00C259DA">
            <w:pPr>
              <w:spacing w:after="74"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Deberán certificar de forma directa, por ende, no podrán realizarlo por conducto de un tercero que opere en calidad de socio comercial, distribuidor o cualquier otra figura análoga.</w:t>
            </w:r>
          </w:p>
          <w:p w:rsidR="00C259DA" w:rsidRPr="00C259DA" w:rsidRDefault="00C259DA" w:rsidP="00C259DA">
            <w:pPr>
              <w:spacing w:after="74"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El resultado de la certificación tendrá una vigencia de un año contado a partir de su emisión.</w:t>
            </w:r>
          </w:p>
          <w:p w:rsidR="00C259DA" w:rsidRPr="00C259DA" w:rsidRDefault="00C259DA" w:rsidP="00C259DA">
            <w:pPr>
              <w:spacing w:after="74"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eastAsia="es-ES"/>
              </w:rPr>
              <w:t>CFF 32-I, RMF 2018 2.21.6.</w:t>
            </w:r>
          </w:p>
          <w:p w:rsidR="00C259DA" w:rsidRPr="00C259DA" w:rsidRDefault="00C259DA" w:rsidP="00C259DA">
            <w:pPr>
              <w:spacing w:after="74"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b/>
                <w:bCs/>
                <w:color w:val="2F2F2F"/>
                <w:sz w:val="18"/>
                <w:szCs w:val="18"/>
                <w:lang w:eastAsia="es-ES"/>
              </w:rPr>
              <w:t>Transmisión de activos y pasivos resultantes de una orden proveniente de una autoridad federal</w:t>
            </w:r>
          </w:p>
          <w:p w:rsidR="00C259DA" w:rsidRPr="00C259DA" w:rsidRDefault="00C259DA" w:rsidP="00C259DA">
            <w:pPr>
              <w:spacing w:after="74"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3.1.20.</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Para efectos del Título II de la Ley del ISR, cuando por motivo de una resolución emitida por una autoridad competente con fundamento en los artículos 28, párrafos décimo quinto y décimo sexto de la Constitución Política de los Estados Unidos Mexicanos, y el Octavo Transitorio, fracciones III y IV, del </w:t>
            </w:r>
            <w:r w:rsidRPr="00C259DA">
              <w:rPr>
                <w:rFonts w:ascii="Arial" w:eastAsia="Times New Roman" w:hAnsi="Arial" w:cs="Arial"/>
                <w:i/>
                <w:iCs/>
                <w:color w:val="2F2F2F"/>
                <w:sz w:val="18"/>
                <w:szCs w:val="18"/>
                <w:lang w:eastAsia="es-ES"/>
              </w:rPr>
              <w:t>"Decreto por el que se reforman y adicionan diversas disposiciones de los artículos 6º., 7º., 27, 28, 73, 78, 94 y 105 de la Constitución Política de los Estados Unidos Mexicanos, en materia de telecomunicaciones"</w:t>
            </w:r>
            <w:r w:rsidRPr="00C259DA">
              <w:rPr>
                <w:rFonts w:ascii="Arial" w:eastAsia="Times New Roman" w:hAnsi="Arial" w:cs="Arial"/>
                <w:color w:val="2F2F2F"/>
                <w:sz w:val="18"/>
                <w:szCs w:val="18"/>
                <w:lang w:eastAsia="es-ES"/>
              </w:rPr>
              <w:t>, publicado en el Diario Oficial de la Federación el 11 de junio de 2013, una persona moral esté obligada a realizar una separación contable, funcional o estructural y, como consecuencia de ello, transmita o enajene parte de sus activos y pasivos a otra persona moral residente en México, los efectos fiscales correspondientes se podrán determinar conforme a lo siguiente:</w:t>
            </w:r>
          </w:p>
          <w:p w:rsidR="00C259DA" w:rsidRPr="00C259DA" w:rsidRDefault="00C259DA" w:rsidP="00C259DA">
            <w:pPr>
              <w:spacing w:after="74"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Por lo que se refiere a la enajenación de activos en términos del artículo 14, fracción III del CFF y la transmisión de pasivos, el enajenante estará a lo siguiente:</w:t>
            </w:r>
          </w:p>
          <w:p w:rsidR="00C259DA" w:rsidRPr="00C259DA" w:rsidRDefault="00C259DA" w:rsidP="00C259DA">
            <w:pPr>
              <w:spacing w:after="74"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a)</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La enajenación de activos por motivo de la separación referida podrá realizarse a su valor fiscal. En el caso de activos fijos, gastos y cargos diferidos definidos en el artículo 32 de la Ley del ISR se considerará valor fiscal, el monto original de la inversión pendiente por deducir, debidamenteactualizado, que se tenga a la fecha de la enajenación de conformidad con las disposiciones fiscales.</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color w:val="2F2F2F"/>
                <w:sz w:val="18"/>
                <w:szCs w:val="18"/>
                <w:lang w:eastAsia="es-ES"/>
              </w:rPr>
              <w:t> </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b)</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En caso de qué junto con los activos señalados en el inciso anterior, también se transmitan pasivos, estos últimos no generarán un ingreso acumulable para la persona que los transmita. En el caso que el valor contable total de los pasivos sea superior al valor contable total de los activos señalados en el inciso anterior, la diferencia se considerará como ingreso acumulable. En el caso qué al momento de su trasmisión, se realice un ajuste al valor contable de los pasivos, el mismo se considerará como ingreso acumulable para la persona que los trasmita.</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c)</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Las acciones que se emitan por motivo de las enajenaciones y transmisiones referidas en los incisos anteriores no tendrán costo comprobado de adquisición para efectos del artículo 22 de la Ley del ISR y demás disposiciones fiscales.</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d)</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Para efectos del artículo 29, fracción VI de la Ley del ISR, cuando el enajenante transmita a una persona moral, al amparo de esta fracción, bienes o recursos que forman parte de un fondo de pensiones y jubilaciones de personal, complementario a los que establece la Ley del Seguro Social, y de primas de antigüedad, cuyo destino sea otro fondo de pensiones y jubilaciones de personal y de primas de antigüedad a que se refiere dicha disposición, que haya constituido la persona moral que asume obligaciones laborales, no se considerará una disposición de los bienes para fines diversos.</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e)</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Las personas morales que realicen los actos a que se refiere esta fracción deberán de presentar, ante las autoridades fiscales, copia certificada de la resolución que les emita la autoridad competente señalada en este párrafo, de conformidad con la ficha de trámite 275/CFF "Presentación de la copia certificada de la resolución emitida por autoridad competente y dictamen por la transmisión de activos y pasivos derivada de una resolución emitida por autoridad competente", contenida en el Anexo 1-A.</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 xml:space="preserve">Por lo que se refiere a los activos enajenados y pasivos transmitidos referidos en esta regla, el adquiriente estará a lo </w:t>
            </w:r>
            <w:r w:rsidRPr="00C259DA">
              <w:rPr>
                <w:rFonts w:ascii="Arial" w:eastAsia="Times New Roman" w:hAnsi="Arial" w:cs="Arial"/>
                <w:color w:val="2F2F2F"/>
                <w:sz w:val="18"/>
                <w:szCs w:val="18"/>
                <w:lang w:eastAsia="es-ES"/>
              </w:rPr>
              <w:lastRenderedPageBreak/>
              <w:t>siguiente:</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a)</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Los activos señalados en el inciso a) de la fracción I de esta regla, se registrarán al valor fiscal que haya servido de base para su enajenación. En el caso de activos fijos, gastos y cargos diferidos definidos en el artículo 32 de la Ley del ISR, el adquiriente continuará realizando su deducción en los mismos términos que lo realizaba el enajenante y considerando los mismos montos deducibles durante cada ejercicio, hasta agotar la parte pendiente por deducir que se tenía previo a la enajenación.</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b)</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Los pasivos señalados en el inciso b) de la fracción I de esta regla, se registrarán al valor contable que haya servido de base para su transmisión.</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c)</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Los activos señalados en la fracción I de esta regla que hayan sido recibidos por el adquiriente, no se considerarán para efectos de la Cuenta de Capital de Aportación a que se refiere el artículo 78 de la Ley del ISR.</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Si por motivo de la enajenación o transmisión de activos y pasivos, se enajenan acciones emitidas por el adquiriente de los activos y pasivos señalados en esta regla, dichas acciones se podrán enajenar a su costo fiscal.</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Si posterior a su transmisión, los pasivos referidos en el párrafo anterior se capitalizan, estos no generarán un costo comprobado de adquisición y no se considerarán para efectos de la Cuenta de Capital de Aportación para efectos de los artículos 22 y 78 de la Ley del ISR y demás disposiciones fiscales.</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Lo dispuesto en esta regla sólo será aplicable siempre que las enajenaciones o transmisiones señaladas en la misma, se efectúen entre personas morales que pertenezcan al mismo grupo de sociedades. Para efectos de esta regla, se entiende por grupo de sociedades al conjunto de sociedades cuyas acciones con derecho a voto, representativas de su capital social, sean propiedad directa o indirecta de las mismas personas en por lo menos 51%.</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18"/>
                <w:szCs w:val="18"/>
                <w:lang w:eastAsia="es-ES"/>
              </w:rPr>
              <w:t> </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Adicionalmente, las personas morales que realicen las operaciones al amparo de la presente regla deberán dictaminarlas por contador público inscrito y presentar los dictámenes respectivos ante las autoridades fiscales.</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El tratamiento de esta regla será aplicable siempre que las operaciones y obligaciones señaladas en la misma, se cumplan dentro de los plazos establecidos en la resolución que emita la autoridad competente señalada en el primer párrafo.</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eastAsia="es-ES"/>
              </w:rPr>
              <w:t>CPEUM 28, CFF 14, LISR 22, 29, 32, 78, DECRETO DOF 11/06/2013, Octavo Transitorio</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b/>
                <w:bCs/>
                <w:color w:val="2F2F2F"/>
                <w:sz w:val="18"/>
                <w:szCs w:val="18"/>
                <w:lang w:eastAsia="es-ES"/>
              </w:rPr>
              <w:t>Personas Morales del Régimen de Propiedad en Condominio</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3.1.21.</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Para los efectos del artículo 79, fracción XVIII de la Ley del ISR, las personas morales del régimen de propiedad en condominio que se ubican en las entidades federativas en las que sus legislaciones locales les reconocen personalidad jurídica, podrán tributar conforme al Título III de la Ley del ISR "Del Régimen de las Personas Morales con fines no lucrativos".</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En el caso de aquellas personas morales del régimen de propiedad en condominio que se ubican en las entidades federativas en las que sus legislaciones locales les reconocen personalidad jurídica que ya se encuentran inscritas en el RFC, podrán presentar un caso de aclaración a través del Portal del SAT, observando lo que para tal efecto dispone la regla 2.5.10., para el efecto de que se les reasigne la clave de actividades económicas en el RFC.</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eastAsia="es-ES"/>
              </w:rPr>
              <w:t>LISR 79</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b/>
                <w:bCs/>
                <w:color w:val="2F2F2F"/>
                <w:sz w:val="18"/>
                <w:szCs w:val="18"/>
                <w:lang w:eastAsia="es-ES"/>
              </w:rPr>
              <w:t>Concepto de títulos valor que se colocan entre el gran público inversionista</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3.2.12.</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Para los efectos de la Ley del ISR y su Reglamento, se consideran títulos valor que se colocan entre el gran público inversionista, aquéllos inscritos conforme a los artículos 85 y 90 de la Ley del Mercado de Valores, en el Registro Nacional de Valores a cargo de la Comisión Nacional Bancaria y de Valores; así como los valores listados en el sistema internacional de cotizaciones de la Bolsa Mexicana de Valores o de la Bolsa Institucional de Valores.</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Adicionalmente, se consideran títulos valor que se colocan entre el gran público inversionista, los valores listados en alguna bolsa de valores constituida en algún Mercado de valores del exterior reconocido que pertenezca a Estados que formen parte del Mercado Integrado Latinoamericano, con el que la Bolsa Mexicana de Valores o de la Bolsa Institucional de Valores. tengan celebrado un acuerdo de los previstos en el artículo 244, fracción X de la Ley del Mercado de Valores, siempre que cuenten con la autorización prevista por el artículo 252 Bis de dicha Ley. Para los efectos del presente párrafo, se entenderá por Valores y Mercado de valores del exterior reconocido, lo que definan como tales las "Disposiciones de Carácter General aplicables a las Bolsas de Valores", publicadas en el DOF el 30 de mayo de 2014.</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Para los efectos del artículo 60, fracción III de la Ley del ISR, se consideran acciones que se colocan entre el gran público inversionista, aquéllas que sean objeto de oferta pública en los términos del Título IV, Sección I, Capítulo II de la Ley del Mercado de Valores, siempre y cuando mantengan esta condición.</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Para los efectos del artículo 129, último párrafo, numeral 1 de la Ley del ISR no se consideran acciones o títulos colocados entre el gran público inversionista</w:t>
            </w:r>
            <w:r w:rsidRPr="00C259DA">
              <w:rPr>
                <w:rFonts w:ascii="Arial" w:eastAsia="Times New Roman" w:hAnsi="Arial" w:cs="Arial"/>
                <w:b/>
                <w:bCs/>
                <w:color w:val="2F2F2F"/>
                <w:sz w:val="18"/>
                <w:szCs w:val="18"/>
                <w:lang w:eastAsia="es-ES"/>
              </w:rPr>
              <w:t> </w:t>
            </w:r>
            <w:r w:rsidRPr="00C259DA">
              <w:rPr>
                <w:rFonts w:ascii="Arial" w:eastAsia="Times New Roman" w:hAnsi="Arial" w:cs="Arial"/>
                <w:color w:val="2F2F2F"/>
                <w:sz w:val="18"/>
                <w:szCs w:val="18"/>
                <w:lang w:eastAsia="es-ES"/>
              </w:rPr>
              <w:t>las acciones o títulos adquiridos por quienes al momento de su inscripción en el Registro Nacional de Valores ya eran accionistas o socios de la emisora de que se trate, respecto de dichas acciones, con independencia de que con posterioridad a dicha adquisición hayan sidotransmitidos por herencia, legado o donación, salvo en aquellos casos en que las acciones o títulos hubiesen sido adquiridos como consecuencia de cualquier plan de acciones o de títulos en beneficio de empleados de personas morales o de partes relacionadas de las mismas, cuyas acciones coticen en bolsa de valores concesionadas.</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eastAsia="es-ES"/>
              </w:rPr>
              <w:t>LISR 60, 129, LMV 85, 90, 244, 252 Bis</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18"/>
                <w:szCs w:val="18"/>
                <w:lang w:eastAsia="es-ES"/>
              </w:rPr>
              <w:t> </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b/>
                <w:bCs/>
                <w:color w:val="2F2F2F"/>
                <w:sz w:val="18"/>
                <w:szCs w:val="18"/>
                <w:lang w:eastAsia="es-ES"/>
              </w:rPr>
              <w:t xml:space="preserve">Requisitos para solicitar autorización para emitir monederos electrónicos utilizados en la adquisición de </w:t>
            </w:r>
            <w:r w:rsidRPr="00C259DA">
              <w:rPr>
                <w:rFonts w:ascii="Arial" w:eastAsia="Times New Roman" w:hAnsi="Arial" w:cs="Arial"/>
                <w:b/>
                <w:bCs/>
                <w:color w:val="2F2F2F"/>
                <w:sz w:val="18"/>
                <w:szCs w:val="18"/>
                <w:lang w:eastAsia="es-ES"/>
              </w:rPr>
              <w:lastRenderedPageBreak/>
              <w:t>combustibles para vehículos marítimos, aéreos y terrestres</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3.3.1.8.</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Para los efectos del artículo 27, fracción III, segundo párrafo de la Ley del ISR, las personas que deseen obtener autorización para emitir monederos electrónicos utilizados en la adquisición de combustibles para vehículos marítimos, aéreos y terrestres, deberán cumplir con los siguientes requisitos:</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Ser persona moral que tribute en términos del Título II de la Ley del ISR, y que dentro de su objeto social se encuentre la emisión de vales o monederos electrónicos.</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Estar al corriente en el cumplimiento de sus obligaciones fiscales.</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Mantener un capital social suscrito y pagado de por lo menos $10'000,000.00 (diez millones de pesos 00/100 M.N.) durante el tiempo que la autorización se encuentre vigente.</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IV.</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Cumplir con lo dispuesto en las siguientes fichas de trámite y Anexo, en el orden en que se citan:</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a)</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5/ISR "Solicitud de validación y opinión técnica del cumplimiento de requisitos tecnológicos para solicitar la autorización para emitir monederos electrónicos de combustibles", contenida en el Anexo 1-A.</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b)</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6/ISR "Solicitud de autorización para emitir monederos electrónicos de combustibles", contenida en el Anexo 1-A.</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c)</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Anexo 28, que contiene las obligaciones y requisitos de los emisores de monederos electrónicos utilizados en la adquisición de combustibles para vehículos marítimos, aéreos y terrestres y de vales de despensa.</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V.</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Una vez que obtenga la autorización deberá contar con la garantía a que se refiere la ficha de trámite 6/ISR "Solicitud de autorización para emitir monederos electrónicos de combustibles", contenida en el Anexo 1-A, a fin de garantizar el pago de cualquier daño o perjuicio que por impericia o incumplimiento de la normatividad establecida en esta resolución, sus anexos y la que se dé a conocer a través del Portal del SAT que regule la función del emisor de monederos electrónicos utilizados para la adquisición de combustible para vehículos marítimos, aéreos y terrestres, se ocasione al fisco federal o a un tercero.</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En caso de no presentar la garantía en los términos y plazos señalados en la ficha de trámite 6/ISR "Solicitud de autorización para emitir monederos electrónicos de combustibles", contenida en el Anexo 1-A, la autorización no surtirá efectos, y los actos que deriven de la misma se consideraran inexistentes.</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En caso de que el aspirante no cumpla con alguno de los requisitos mencionados en la fracción IV de la presente regla, la AGCTI requerirá al solicitante, para que en un plazo de diez días, subsane las omisiones detectadas, conforme a la ficha de trámite 107/ISR "Informe para desvirtuar los incumplimientos que fueron detectados durante la verificación del cumplimiento de requisitos y obligaciones del aspirante a emisor y emisor autorizado de monederos electrónicos utilizados en laadquisición de combustibles para vehículos marítimos, aéreos y terrestres", contenida en el Anexo 1-A. De no cumplirse con el requerimiento en tiempo y forma, la solicitud se tendrá por no presentada y se emitirá oficio de opinión técnica favorable o no favorable, en caso de ser favorable dicho oficio tendrá vigencia de tres meses posteriores a la fecha de su notificación, plazo en que el aspirante deberá presentar su solicitud de autorización para emitir monederos electrónicos.</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La autorización a que se refiere la presente regla corresponderá al monedero que fue validado tecnológicamente por la AGCTI, mismo que podrá ser utilizado con un nombre comercial, en diversas modalidades.</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El nombre comercial señalado anteriormente podrá ser modificado, siempre que se presente el aviso a que se refiere la ficha de trámite 8/ISR "Aviso de actualización de datos de los emisores autorizados de monederos electrónicos de combustibles", contenida en el Anexo 1-A.</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18"/>
                <w:szCs w:val="18"/>
                <w:lang w:eastAsia="es-ES"/>
              </w:rPr>
              <w:t> </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Se consideran modalidades cualquier cambio adicional de imagen que se realice al prototipo de monedero autorizado, tales como cambio de color, de diseño, inserción de logotipos, inserción de nombres adicionales al comercial, entre otros.</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Dichas modalidades deberán ser informadas a la autoridad fiscal de conformidad con la citada ficha de trámite 8/ISR "Aviso de actualización de datos de los emisores autorizados de monederos electrónicos de combustibles", contenida en el Anexo 1-A.</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La modificación al nombre comercial no deberá comprender cambios adicionales a los antes señalados, por lo que en caso de que se detecte algún incumplimiento de los requisitos tecnológicos que hubieren sido previamente validados por la AGCTI, la autorización de referencia será revocada.</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eastAsia="es-ES"/>
              </w:rPr>
              <w:t>LISR 27, RMF 2018 3.3.1.6.</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b/>
                <w:bCs/>
                <w:color w:val="2F2F2F"/>
                <w:sz w:val="18"/>
                <w:szCs w:val="18"/>
                <w:lang w:eastAsia="es-ES"/>
              </w:rPr>
              <w:t>Vigencia de la autorización del emisor de monederos electrónicos utilizados en la adquisición de combustibles para vehículos marítimos, aéreos y terrestres</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3.3.1.9.</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Para los efectos del artículo 27, fracción III, segundo párrafo, de la Ley del ISR, la autorización como emisor de monederos electrónicos utilizados en la adquisición de combustibles para vehículos marítimos, aéreos y terrestres, tendrá vigencia por el ejercicio fiscal en el que se otorgue.</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En tanto continúen cumpliendo los requisitos y supuestos bajo los cuales se otorgó la autorización, la misma podrá ser renovada por el siguiente ejercicio fiscal, siempre que los emisores autorizados presenten en el mes de octubre:</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a.</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El aviso establecido en la ficha de trámite 7/ISR "Aviso de renovación de la autorización y exhibición de la garantía para operar como emisor de monederos electrónicos de combustibles", contenida en el Anexo 1-A</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b.</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Exhiban la garantía vigente por el ejercicio fiscal de que se trate.</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c.</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 xml:space="preserve">Cuenten con la certificación anual favorable emitida por un órgano certificador autorizado por el SAT, de acuerdo con el </w:t>
            </w:r>
            <w:r w:rsidRPr="00C259DA">
              <w:rPr>
                <w:rFonts w:ascii="Arial" w:eastAsia="Times New Roman" w:hAnsi="Arial" w:cs="Arial"/>
                <w:color w:val="2F2F2F"/>
                <w:sz w:val="18"/>
                <w:szCs w:val="18"/>
                <w:lang w:eastAsia="es-ES"/>
              </w:rPr>
              <w:lastRenderedPageBreak/>
              <w:t>artículo 32-I del CFF.</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Cuando no se dé cumplimiento a lo señalado en el párrafo que antecede, la autorización para emitir monederos electrónicos utilizados en la adquisición de combustibles para vehículos marítimos, aéreos y terrestres se tendrá por no renovada.</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El emisor que no haya renovado su autorización deberá continuar prestando el servicio durante un periodo de transición de noventa días, contados a partir de la fecha y hora en la que para tal efecto señale la AGJ en la resolución correspondiente y deberá cumplir con lo siguiente:</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1.</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Publicar en un lugar visible en su página de Internet un "AVISO URGENTE" con la siguiente leyenda:</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eastAsia="es-ES"/>
              </w:rPr>
              <w:t>"Estimado usuario, se le informa que el día __ de _____ de 201_, vence el periodo de transición de noventa días que nos fue otorgado por el SAT, derivado de la no renovación de la autorización para operar como emisor autorizado de monederos electrónicos utilizados en la adquisición de combustibles para vehículos marítimos, aéreos y terrestres, por lo que se le hace una atenta invitación para contratar a cualquiera de los emisores publicados como autorizados en el Portal del SAT."</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2.</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Informar mediante correo electrónico a todos sus clientes, el mensaje señalado en el numeral anterior, solicitando la confirmación de recepción del mismo.</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3.</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Presentar durante el mes siguiente a aquél en el que dé inicio el periodo de transición, a través del Portal del SAT los archivos que contengan por cada uno de sus clientes, copia del aviso remitido mediante correo electrónico y, de contar con ella, la confirmación de recepción por parte de sus clientes.</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4.</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Abstenerse de contratar u ofrecer por cualquier medio la emisión de monederos electrónicos a nuevos clientes.</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5.</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Cumplir con las obligaciones y requisitos de carácter tecnológicos y de seguridad de la información contenidos en el Anexo 28 y con las demás obligaciones que se indiquen en el oficio que para tales efectos notifique la autoridad fiscal.</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18"/>
                <w:szCs w:val="18"/>
                <w:lang w:eastAsia="es-ES"/>
              </w:rPr>
              <w:t> </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La publicación del aviso a que se refiere el numeral 1, así como el envío del correo señalado en el numeral 2, deberán realizarse a más tardar dentro de los tres días naturales siguientes a aquél en que inicie el periodo de transición.</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Aquellos emisores de monederos electrónicos utilizados en la adquisición de combustibles, que hubiesen obtenido la autorización durante los meses de agosto a diciembre del ejercicio de que se trate, mantendrán vigencia por dicho ejercicio y por el inmediato posterior.</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El emisor de monederos electrónicos de combustibles que no presente en tiempo y forma el aviso a que se refiere la presente regla, podrá solicitar una nueva autorización en el mes de marzo del siguiente año a aquél en que no presentó el aviso de referencia.</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En caso de algún incumplimiento respecto de la autorización otorgada, el SAT podrá ejecutar la citada garantía.</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eastAsia="es-ES"/>
              </w:rPr>
              <w:t>CFF 32-I, LISR 27, RMF 2018 3.3.1.8.</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b/>
                <w:bCs/>
                <w:color w:val="2F2F2F"/>
                <w:sz w:val="18"/>
                <w:szCs w:val="18"/>
                <w:lang w:eastAsia="es-ES"/>
              </w:rPr>
              <w:t>Obligaciones del emisor autorizado de monederos electrónicos utilizados en la adquisición de combustibles para vehículos marítimos, aéreos y terrestres</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3.3.1.10.</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Para los efectos del artículo 27, fracción III, segundo párrafo de la Ley del ISR, los emisores autorizados de monederos electrónicos utilizados en la adquisición de combustibles para vehículos marítimos, aéreos y terrestres, deberán cumplir con las siguientes obligaciones:</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Registrar y mantener actualizado un banco de datos que reúna elementos de seguridad e inviolabilidad, con la información de los vehículos y personas autorizadas por el contribuyente que solicite el monedero electrónico.</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Mantener a disposición de las autoridades fiscales la información y documentación de las operaciones realizadas con los monederos electrónicos, así como cualquier otra relacionada con la autorización, durante el plazo que establece el artículo 30 del CFF.</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Emitir a los contribuyentes adquirentes de combustibles para vehículos marítimos, aéreos y terrestres, un CFDI diario, semanal o mensual, por la adquisición de combustible, así como por el pago por las comisiones y otros cargos que el emisor cobre por sus servicios que contenga el complemento de estado de cuenta de combustibles para monederos electrónicos autorizados por el SAT, en el que seincluya al menos para cada consumo lo siguiente: número de monedero, fecha y hora, cantidad de litros, tipo de combustible, precio unitario y clave en el RFC de la estación de servicios en la que se adquirió el combustible, en términos de la regla 2.7.1.8., así como el complemento de identificación de recurso y minuta de gastos por cuenta de terceros.</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IV.</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Emitir a las estaciones de servicio que enajenan los combustibles para vehículos marítimos, aéreos y terrestres un CFDI de egresos diario, semanal o mensual que contenga el complemento de consumo de combustibles que hayan sido realizados a través de los monederos electrónicos autorizados por el SAT, en términos de la regla 2.7.1.8.</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El CFDI y el complemento a que se refiere el párrafo anterior deberán ser conservados por la estación de servicio enajenante como parte de su contabilidad, en términos del artículo 28 del CFF.</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 xml:space="preserve">Lo establecido en esta fracción no será aplicable cuando el emisor autorizado del monedero electrónico de combustibles y la estación de servicio enajenante sea la misma persona, respecto de las enajenaciones de combustibles que realicen, en cuyo caso, en su calidad de emisor y estación de servicio, deberá expedir al adquirente del combustible el CFDI por las comisiones y otros cargos que cobre por sus servicios de emisor, así como por la venta de combustibles por las operaciones realizadas con monederos electrónicos y el complemento de estado de cuenta a que se refiere la fracción anterior, en lugar de cumplir con lo señalado en el último párrafo de la regla 3.3.1.7. Además, deberá conservar como parte de su contabilidad, registros que permitan identificar que los monederos electrónicos únicamente fueron utilizados para la </w:t>
            </w:r>
            <w:r w:rsidRPr="00C259DA">
              <w:rPr>
                <w:rFonts w:ascii="Arial" w:eastAsia="Times New Roman" w:hAnsi="Arial" w:cs="Arial"/>
                <w:color w:val="2F2F2F"/>
                <w:sz w:val="18"/>
                <w:szCs w:val="18"/>
                <w:lang w:eastAsia="es-ES"/>
              </w:rPr>
              <w:lastRenderedPageBreak/>
              <w:t>adquisición de combustibles.</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color w:val="2F2F2F"/>
                <w:sz w:val="18"/>
                <w:szCs w:val="18"/>
                <w:lang w:eastAsia="es-ES"/>
              </w:rPr>
              <w:t> </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V.</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Mantener a disposición de las autoridades fiscales y facilitar el acceso por medios electrónicos a los bancos de datos que contengan la información relacionada con los monederos electrónicos para ser utilizados por los contribuyentes en la adquisición de combustibles para vehículos marítimos, aéreos y terrestres.</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VI.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Permitir y facilitar la realización de actos de verificación y de supervisión por parte del SAT, de manera física o remota, respecto de los sistemas, operación, resguardo, seguridad de la información y/o cualquier otra de las obligaciones relacionadas con la autorización.</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VII.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Afiliar a estaciones de servicio, a través de la celebración de contratos, a efecto de que en dichas estaciones de servicio pueda ser usado el monedero electrónico en la adquisición de combustibles para vehículos marítimos, aéreos y terrestres, utilizando para tales efectos los prototipos que presentaron en términos del numeral 3 de la ficha de trámite 6/ISR "Solicitud de autorización para emitir monederos electrónicos de combustibles", contenida en el Anexo 1-A. Asimismo, deberán publicar en su página de Internet una lista de las estaciones de servicio afiliadas.</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Lo establecido en esta fracción, no será aplicable cuando el emisor autorizado del monedero electrónico de combustibles y la estación de servicio enajenante sea la misma persona, respecto de las operaciones que realicen en su calidad de emisor y estación de servicio. No obstante, cuando afilien a otras estaciones de servicio deberán cumplir con lo dispuesto en esta fracción.</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VIII.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Celebrar contratos con los clientes contratantes de los monederos electrónicos de combustibles, utilizando para tales efectos los prototipos de contrato y adenda que presentaron en términos del numeral 1 de la ficha de trámite 6/ISR "Solicitud de autorización para emitir monederos electrónicos de combustibles", contenida en el Anexo 1-A.</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IX.</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Presentar los avisos correspondientes conforme a lo establecido en la ficha de trámite 8/ISR "Aviso de actualización de datos de los emisores autorizados de monederos electrónicos de combustibles", contenida en el Anexo 1-A.</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X.</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Cumplir con las obligaciones y requisitos señalados en el Anexo 28.</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XI.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Comunicar a la AGCTI los cambios tecnológicos que se pretendan realizar con posterioridad a la obtención de la autorización como emisor autorizado de monederos electrónicos utilizados en la adquisición de combustibles para vehículos marítimos, aéreos y terrestres en los términos de la ficha de trámite 119/ISR "Aviso de control de cambios tecnológicos para emisor autorizado de monederoselectrónicos utilizados en la adquisición de combustibles para vehículos marítimos, aéreos y terrestres", contenida en el Anexo 1-A.</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Para tal efecto, el emisor deberá usar el catálogo de cambios que se señala a continuación:</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a)</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Alta, baja y cambio en infraestructura de hardware, software, base de datos y aplicativo.</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b)</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Cambio de centro de datos o proveedores de TI.</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c)</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Cambio de proveedor transaccional.</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Cuando la AGCTI, detecte algún riesgo en la implementación de los cambios tecnológicos, de confidencialidad, integridad, disponibilidad y seguridad de la información o cualquier otra de las obligaciones relacionadas con la autorización, podrá emitir recomendaciones especificando los riesgos y las mejores prácticas para mitigarlos, éstas deberán ser consideradas por el emisor autorizado demonederos electrónicos utilizados en la adquisición de combustibles para vehículos marítimos, aéreos y terrestres.</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color w:val="2F2F2F"/>
                <w:sz w:val="18"/>
                <w:szCs w:val="18"/>
                <w:lang w:eastAsia="es-ES"/>
              </w:rPr>
              <w:t> </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XII.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Cuando el emisor autorizado emita un nuevo monedero independiente a los presentados para obtener la autorización como emisor de monederos electrónicos, lo someterá a una nueva valoración técnica para su autorización, conforme a la regla 3.3.1.8., para el cumplimiento de la ficha de trámite 5/ISR "Solicitud de validación y opinión técnica del cumplimiento de requisitos tecnológicos para solicitar la autorización para emitir monederos electrónicos de combustibles", contenida en el Anexo 1-A.</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XIII.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Contar por lo menos con una certificación anual favorable de cumplimiento de requisitos y obligaciones, emitida por un órgano certificador autorizado por el SAT, de conformidad con el artículo 32-I del CFF.</w:t>
            </w:r>
          </w:p>
          <w:p w:rsidR="00C259DA" w:rsidRPr="00C259DA" w:rsidRDefault="00C259DA" w:rsidP="00C259DA">
            <w:pPr>
              <w:spacing w:after="101" w:line="240" w:lineRule="auto"/>
              <w:ind w:hanging="1152"/>
              <w:jc w:val="both"/>
              <w:rPr>
                <w:rFonts w:ascii="Arial" w:eastAsia="Times New Roman" w:hAnsi="Arial" w:cs="Arial"/>
                <w:color w:val="2F2F2F"/>
                <w:sz w:val="18"/>
                <w:szCs w:val="18"/>
                <w:lang w:val="en-US"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val="en-US" w:eastAsia="es-ES"/>
              </w:rPr>
              <w:t>CFF 28, 29, 29-A, 30, 32-I, LISR 27, RMF 2018 2.7.1.8., 3.3.1.7., 3.3.1.8., 3.3.1.9., 3.3.1.13.</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val="en-US" w:eastAsia="es-ES"/>
              </w:rPr>
              <w:t>                   </w:t>
            </w:r>
            <w:r w:rsidRPr="00C259DA">
              <w:rPr>
                <w:rFonts w:ascii="Arial" w:eastAsia="Times New Roman" w:hAnsi="Arial" w:cs="Arial"/>
                <w:b/>
                <w:bCs/>
                <w:color w:val="2F2F2F"/>
                <w:sz w:val="18"/>
                <w:szCs w:val="18"/>
                <w:lang w:eastAsia="es-ES"/>
              </w:rPr>
              <w:t>Causas de revocación de la autorización para emitir monederos electrónicos utilizados en la adquisición de combustibles para vehículos marítimos, aéreos y terrestres</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3.3.1.12.</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Para los efectos del artículo 27, fracción III, segundo párrafo de la Ley del ISR, el SAT podrá revocar la autorización para emitir monederos electrónicos utilizados en la adquisición de combustibles para vehículos marítimos, aéreos y terrestres, por cualquiera de las siguientes causas:</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Cuando la autoridad fiscal detecte que los emisores autorizados de monederos electrónicos utilizados en la adquisición de combustibles para vehículos marítimos, aéreos y terrestres han dejado de cumplir con lo establecido en la regla 3.3.1.8.</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Cuando transcurrido el plazo señalado en la regla 3.3.1.11., segundo párrafo, el emisor autorizado no desvirtúe el o los incumplimientos detectados por la ACSMC y ésta informe sobre los mismos a la AGJ.</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Cuando se graven, cedan o transmitan parcial o totalmente los derechos derivados de la autorización.</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IV.</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 xml:space="preserve">Cuando el emisor autorizado no facilite, impida, obstaculice o se oponga a que la autoridad fiscal o el tercero habilitado por ésta lleve a cabo la verificación y supervisión del cumplimiento de cualquiera de los requisitos y obligaciones que debe cumplir como emisor autorizado, o bien, proporcione información falsa relacionada con los mismos, incluso si aquélla es </w:t>
            </w:r>
            <w:r w:rsidRPr="00C259DA">
              <w:rPr>
                <w:rFonts w:ascii="Arial" w:eastAsia="Times New Roman" w:hAnsi="Arial" w:cs="Arial"/>
                <w:color w:val="2F2F2F"/>
                <w:sz w:val="18"/>
                <w:szCs w:val="18"/>
                <w:lang w:eastAsia="es-ES"/>
              </w:rPr>
              <w:lastRenderedPageBreak/>
              <w:t>proporcionada por cualquiera de las personas relacionadas con la autorización.</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V.</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Cuando se incumplan los requisitos y obligaciones que se señalen en la autorización y en el Anexo 28.</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VI.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Cuando sea publicado en la lista a que se refiere el artículo 69-B, tercer párrafo del CFF.</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VII.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Cuando en su caso, incumpla con cualquiera de las obligaciones previstas en la regla 3.3.1.10.</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VIII.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Se encuentre sujeto a un concurso mercantil en etapa de conciliación y quiebra.</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IX.</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Hubiera cometido o participado en la comisión de un delito de carácter fiscal.</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X.</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Cuando el contribuyente se encuentre como no localizado, cancelado o suspendido en el RFC.</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XI.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Cuando no presente los avisos a que se refiere la ficha de trámite 8/ISR "Aviso de actualización de datos de los emisores autorizados de monederos electrónicos de combustibles", contenida en el Anexo 1-A.</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XII.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Cuando el emisor autorizado no ejerza la autorización ni realice la prestación del servicio por la cual le fue otorgada la misma, en el ejercicio fiscal de que se trate.</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XIII.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No haber obtenido por lo menos una certificación anual favorable de cumplimiento de requisitos y obligaciones, emitida por un órgano certificador autorizado por el SAT, de conformidad con el artículo 32-I del CFF.</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18"/>
                <w:szCs w:val="18"/>
                <w:lang w:eastAsia="es-ES"/>
              </w:rPr>
              <w:t> </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Al emisor de monederos electrónicos de combustibles que le haya sido revocada la autorización, no podrá obtenerla de nueva cuenta en los doce meses posteriores a aquél en el que le haya sido revocada, ni sus partes relacionadas, ni el mismo contribuyente bajo otra denominación o razón social.</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Los monederos electrónicos de combustibles emitidos durante el periodo de vigencia de la autorización y que a la fecha de revocación no hayan sido utilizados, podrán utilizarse hasta agotar el saldo original de los mismos.</w:t>
            </w:r>
          </w:p>
          <w:p w:rsidR="00C259DA" w:rsidRPr="00C259DA" w:rsidRDefault="00C259DA" w:rsidP="00C259DA">
            <w:pPr>
              <w:spacing w:after="101" w:line="240" w:lineRule="auto"/>
              <w:ind w:hanging="1152"/>
              <w:jc w:val="both"/>
              <w:rPr>
                <w:rFonts w:ascii="Arial" w:eastAsia="Times New Roman" w:hAnsi="Arial" w:cs="Arial"/>
                <w:color w:val="2F2F2F"/>
                <w:sz w:val="18"/>
                <w:szCs w:val="18"/>
                <w:lang w:val="en-US"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val="en-US" w:eastAsia="es-ES"/>
              </w:rPr>
              <w:t>CFF 32-I, 69-B, LISR 27, RMF 2018 3.3.1.8., 3.3.1.9., 3.3.1.10., 3.3.1.11., 3.3.1.39.</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val="en-US" w:eastAsia="es-ES"/>
              </w:rPr>
              <w:t>                   </w:t>
            </w:r>
            <w:r w:rsidRPr="00C259DA">
              <w:rPr>
                <w:rFonts w:ascii="Arial" w:eastAsia="Times New Roman" w:hAnsi="Arial" w:cs="Arial"/>
                <w:b/>
                <w:bCs/>
                <w:color w:val="2F2F2F"/>
                <w:sz w:val="18"/>
                <w:szCs w:val="18"/>
                <w:lang w:eastAsia="es-ES"/>
              </w:rPr>
              <w:t>Requisitos para solicitar autorización para emitir monederos electrónicos de vales de despensa</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3.3.1.17.</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Para los efectos del artículo 27, fracción XI, primer párrafo de la Ley del ISR, las personas que deseen obtener autorización para emitir monederos electrónicos de vales de despensa deberán cumplir con los siguientes requisitos:</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Ser persona moral que tribute en términos del Título II de la Ley del ISR, y que dentro de su objeto social se encuentre la emisión de vales o monederos electrónicos.</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Estar al corriente en el cumplimiento de sus obligaciones fiscales.</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Mantener un capital social suscrito y pagado de por lo menos $10'000,000.00 (diez millones de pesos 00/100 M.N.) durante el tiempo que la autorización se encuentre vigente.</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IV.</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Cumplir con lo dispuesto en las siguientes fichas de trámite y Anexo, en el orden en que se citan:</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a)</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9/ISR "Solicitud de validación y opinión técnica del cumplimiento de requisitos tecnológicos y de seguridad para solicitar la autorización para emitir monederos electrónicos de vales de despensa", contenida en el Anexo 1-A; y</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b)</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10/ISR "Solicitud de autorización para emitir monederos electrónicos de vales de despensa", contenida en el Anexo 1-A.</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c)</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Anexo 28 que contiene las obligaciones y requisitos de los emisores de monederos electrónicos utilizados en la adquisición de combustibles para vehículos marítimos, aéreos y terrestres y de vales de despensa.</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V.</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Una vez que se obtenga la autorización deberá contar con la garantía a que se refiere la ficha de trámite 10/ISR "Solicitud de autorización para emitir monederos electrónicos de vales de despensa", contenida en el Anexo 1-A, a fin de garantizar el pago de cualquier daño o perjuicio que por impericia o incumplimiento de la normatividad establecida en esta resolución, sus anexos y la que se dé a conocer a través del Portal del SAT que regule la función del emisor de monederos electrónicos de vales de despensa, se ocasione al fisco federal o a un tercero.</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En caso de no presentar la garantía en los términos y plazos señalados en la ficha de trámite 10/ISR "Solicitud de autorización para emitir monederos electrónicos de vales de despensa", contenida en el Anexo 1-A, la autorización no surtirá efectos, y los actos que deriven de la misma se considerarán inexistentes.</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En caso de que el aspirante no cumpla con alguno de los requisitos mencionados en la fracción IV de la presente regla, la AGCTI requerirá al solicitante, para que en un plazo de diez días, subsane las omisiones detectadas, conforme a la ficha de trámite 108/ISR "Informe para desvirtuar los incumplimientos que fueron detectados durante la verificación del cumplimiento de requisitos y obligaciones del aspirante y emisor autorizado demonederos electrónicos de vales de despensa", contenida en el Anexo 1-A. De no cumplirse con el requerimiento en tiempo y forma, la solicitud se tendrá por no presentada y se emitirá oficio de opinión técnica favorable o no favorable; en caso de ser favorable dicho oficio tendrá vigencia de tres meses posteriores a la fecha de su notificación, plazo en que el aspirante deberá presentar su solicitud de autorización para emitir monederos electrónicos.</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La autorización a que se refiere la presente regla corresponderá al monedero que fue validado tecnológicamente por la AGCTI, mismo que podrá ser utilizado con un nombre comercial, en diversas modalidades.</w:t>
            </w:r>
          </w:p>
          <w:p w:rsidR="00C259DA" w:rsidRPr="00C259DA" w:rsidRDefault="00C259DA" w:rsidP="00C259DA">
            <w:pPr>
              <w:spacing w:after="94"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18"/>
                <w:szCs w:val="18"/>
                <w:lang w:eastAsia="es-ES"/>
              </w:rPr>
              <w:t> </w:t>
            </w:r>
          </w:p>
          <w:p w:rsidR="00C259DA" w:rsidRPr="00C259DA" w:rsidRDefault="00C259DA" w:rsidP="00C259DA">
            <w:pPr>
              <w:spacing w:after="94"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El nombre comercial señalado anteriormente podrá ser modificado siempre que se presente el aviso a que se refiere la ficha de trámite 12/ISR "Aviso de actualización de datos de los emisores autorizados de monederos electrónicos de vales de despensa", contenida en el Anexo 1-A.</w:t>
            </w:r>
          </w:p>
          <w:p w:rsidR="00C259DA" w:rsidRPr="00C259DA" w:rsidRDefault="00C259DA" w:rsidP="00C259DA">
            <w:pPr>
              <w:spacing w:after="94"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lastRenderedPageBreak/>
              <w:t>                   </w:t>
            </w:r>
            <w:r w:rsidRPr="00C259DA">
              <w:rPr>
                <w:rFonts w:ascii="Arial" w:eastAsia="Times New Roman" w:hAnsi="Arial" w:cs="Arial"/>
                <w:color w:val="2F2F2F"/>
                <w:sz w:val="18"/>
                <w:szCs w:val="18"/>
                <w:lang w:eastAsia="es-ES"/>
              </w:rPr>
              <w:t>Se consideran modalidades cualquier cambio adicional de imagen que se realice al prototipo de monedero autorizado, tales como cambio de color, de diseño, inserción de logotipos, inserción de nombres adicionales al comercial entre otros.</w:t>
            </w:r>
          </w:p>
          <w:p w:rsidR="00C259DA" w:rsidRPr="00C259DA" w:rsidRDefault="00C259DA" w:rsidP="00C259DA">
            <w:pPr>
              <w:spacing w:after="94"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Dichas modalidades deberán ser informadas a la autoridad fiscal de conformidad con la citada ficha de trámite 12/ISR "Aviso de actualización de datos de los emisores autorizados de monederos electrónicos de vales de despensa", contenida en el Anexo 1-A.</w:t>
            </w:r>
          </w:p>
          <w:p w:rsidR="00C259DA" w:rsidRPr="00C259DA" w:rsidRDefault="00C259DA" w:rsidP="00C259DA">
            <w:pPr>
              <w:spacing w:after="94"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La modificación al nombre comercial, no deberá comprender cambios adicionales a los antes señalados, por lo que en caso de que se detecte algún incumplimiento de los requisitos tecnológicos que hubieren sido previamente validados por la AGCTI, la autorización de referencia será revocada.</w:t>
            </w:r>
          </w:p>
          <w:p w:rsidR="00C259DA" w:rsidRPr="00C259DA" w:rsidRDefault="00C259DA" w:rsidP="00C259DA">
            <w:pPr>
              <w:spacing w:after="94"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eastAsia="es-ES"/>
              </w:rPr>
              <w:t>LISR 27, RMF 2018 3.3.1.16.</w:t>
            </w:r>
          </w:p>
          <w:p w:rsidR="00C259DA" w:rsidRPr="00C259DA" w:rsidRDefault="00C259DA" w:rsidP="00C259DA">
            <w:pPr>
              <w:spacing w:after="94"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b/>
                <w:bCs/>
                <w:color w:val="2F2F2F"/>
                <w:sz w:val="18"/>
                <w:szCs w:val="18"/>
                <w:lang w:eastAsia="es-ES"/>
              </w:rPr>
              <w:t>Vigencia de la autorización del emisor de monederos electrónicos de vales de despensa</w:t>
            </w:r>
          </w:p>
          <w:p w:rsidR="00C259DA" w:rsidRPr="00C259DA" w:rsidRDefault="00C259DA" w:rsidP="00C259DA">
            <w:pPr>
              <w:spacing w:after="94"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3.3.1.18.</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Para los efectos del artículo 27, fracción XI, primer párrafo de la Ley del ISR, la autorización como emisor de monederos electrónicos de vales de despensa, tendrá vigencia por el ejercicio fiscal en el que se otorgue.</w:t>
            </w:r>
          </w:p>
          <w:p w:rsidR="00C259DA" w:rsidRPr="00C259DA" w:rsidRDefault="00C259DA" w:rsidP="00C259DA">
            <w:pPr>
              <w:spacing w:after="94"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En tanto continúen cumpliendo los requisitos y supuestos bajo los cuales se otorgó la autorización, la misma podrá ser renovada por el siguiente ejercicio fiscal, siempre que los emisores autorizados presenten en el mes de octubre:</w:t>
            </w:r>
          </w:p>
          <w:p w:rsidR="00C259DA" w:rsidRPr="00C259DA" w:rsidRDefault="00C259DA" w:rsidP="00C259DA">
            <w:pPr>
              <w:spacing w:after="94"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a.</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El aviso establecido en la ficha de trámite 11/ISR "Aviso de renovación de la autorización y exhibición de la garantía para operar como emisor de monederos electrónicos de vales de despensa", contenida en el Anexo 1-A.</w:t>
            </w:r>
          </w:p>
          <w:p w:rsidR="00C259DA" w:rsidRPr="00C259DA" w:rsidRDefault="00C259DA" w:rsidP="00C259DA">
            <w:pPr>
              <w:spacing w:after="94"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b.</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Exhiban la garantía vigente por el ejercicio fiscal de que se trate.</w:t>
            </w:r>
          </w:p>
          <w:p w:rsidR="00C259DA" w:rsidRPr="00C259DA" w:rsidRDefault="00C259DA" w:rsidP="00C259DA">
            <w:pPr>
              <w:spacing w:after="94"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c.</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Cuenten con la certificación anual favorable emitida por un órgano certificador autorizado por el SAT de acuerdo al artículo 32-I del CFF.</w:t>
            </w:r>
          </w:p>
          <w:p w:rsidR="00C259DA" w:rsidRPr="00C259DA" w:rsidRDefault="00C259DA" w:rsidP="00C259DA">
            <w:pPr>
              <w:spacing w:after="94"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Cuando no se dé cumplimiento a lo señalado en el párrafo que antecede, la autorización para emitir monederos electrónicos de vales de despensa se tendrá por no renovada.</w:t>
            </w:r>
          </w:p>
          <w:p w:rsidR="00C259DA" w:rsidRPr="00C259DA" w:rsidRDefault="00C259DA" w:rsidP="00C259DA">
            <w:pPr>
              <w:spacing w:after="94"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El emisor que no haya renovado su autorización deberá continuar prestando el servicio durante un periodo de transición de noventa días, contados a partir de la fecha y hora que para tal efecto señale la AGJ en la resolución correspondiente y deberá cumplir con lo siguiente:</w:t>
            </w:r>
          </w:p>
          <w:p w:rsidR="00C259DA" w:rsidRPr="00C259DA" w:rsidRDefault="00C259DA" w:rsidP="00C259DA">
            <w:pPr>
              <w:spacing w:after="94"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1.</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Publicar en un lugar visible en su página de Internet un "AVISO URGENTE" con la siguiente leyenda:</w:t>
            </w:r>
          </w:p>
          <w:p w:rsidR="00C259DA" w:rsidRPr="00C259DA" w:rsidRDefault="00C259DA" w:rsidP="00C259DA">
            <w:pPr>
              <w:spacing w:after="94"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eastAsia="es-ES"/>
              </w:rPr>
              <w:t>"Estimado usuario, se le informa que el día __ de _____ de 201_, vence el periodo de transición de noventa días que nos fue otorgado por el SAT, derivado de la no renovación de la autorización otorgada por el SAT para operar como emisor autorizado de monederos electrónicos de vales de despensa, por lo que se le hace una atenta invitación para contratar a cualquiera de los emisores publicados como autorizados en el Portal del SAT."</w:t>
            </w:r>
          </w:p>
          <w:p w:rsidR="00C259DA" w:rsidRPr="00C259DA" w:rsidRDefault="00C259DA" w:rsidP="00C259DA">
            <w:pPr>
              <w:spacing w:after="94"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2.</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Informar mediante correo electrónico a todos sus clientes, el mensaje señalado en el numeral anterior, solicitando la confirmación de recepción del mismo.</w:t>
            </w:r>
          </w:p>
          <w:p w:rsidR="00C259DA" w:rsidRPr="00C259DA" w:rsidRDefault="00C259DA" w:rsidP="00C259DA">
            <w:pPr>
              <w:spacing w:after="94"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3.</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Presentar durante el mes siguiente a aquél en el que dé inicio el periodo de transición, a través del Portal del SAT los archivos que contengan por cada uno de sus clientes, copia del aviso remitido mediante correo electrónico y, de contar con ella, la confirmación de recepción por parte de sus clientes.</w:t>
            </w:r>
          </w:p>
          <w:p w:rsidR="00C259DA" w:rsidRPr="00C259DA" w:rsidRDefault="00C259DA" w:rsidP="00C259DA">
            <w:pPr>
              <w:spacing w:after="94"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4.</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Abstenerse de contratar u ofrecer por cualquier medio la emisión de monederos electrónicos a nuevos clientes.</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5.</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Cumplir con las obligaciones y requisitos de carácter tecnológico y de seguridad de la información contenidos en el Anexo 28 y con las obligaciones que se indiquen en el oficio que para tales efectos notifique la autoridad fiscal.</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18"/>
                <w:szCs w:val="18"/>
                <w:lang w:eastAsia="es-ES"/>
              </w:rPr>
              <w:t> </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La publicación del aviso a que se refiere el numeral 1, así como el envío del correo señalado en el numeral 2, deberán realizarse a más tardar dentro de los tres días naturales siguientes a aquél en que inicie el periodo de transición.</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Aquellos emisores de monederos electrónicos de vales de despensa, que hubiesen obtenido la autorización durante los meses de agosto a diciembre del ejercicio de que se trate, mantendrán vigencia por dicho ejercicio y por el inmediato posterior.</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El emisor de monederos electrónicos de vales de despensa que no presente en tiempo y forma el aviso a que se refiere la presente regla, podrá solicitar una nueva autorización en el mes de marzo del año siguiente a aquél en que no presentó el aviso de referencia.</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En caso de algún incumplimiento respecto de la autorización otorgada, el SAT podrá ejecutar la citada garantía.</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eastAsia="es-ES"/>
              </w:rPr>
              <w:t>CFF 32-I, LISR 27, RMF 2018 3.3.1.17.</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b/>
                <w:bCs/>
                <w:color w:val="2F2F2F"/>
                <w:sz w:val="18"/>
                <w:szCs w:val="18"/>
                <w:lang w:eastAsia="es-ES"/>
              </w:rPr>
              <w:t>Obligaciones del emisor de monederos electrónicos de vales de despensa</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3.3.1.19.</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Para los efectos del artículo 27, fracción XI, primer párrafo de la Ley del ISR, el emisor autorizado de monederos electrónicos de vales de despensa, deberá cumplir con las siguientes obligaciones:</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Permitir y facilitar la realización de actos de verificación y de supervisión por parte del SAT, de manera física o remota, respecto de los sistemas, operación, resguardo, seguridad de la información y/o cualquier otra de las obligaciones relacionadas con la autorización.</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Concentrar la información de las operaciones que se realicen con los monederos electrónicos de vales de despensa, en un banco de datos que reúna elementos de seguridad e inviolabilidad, mismo que deberá mantenerse a disposición de las autoridades fiscales y facilitar el acceso por medios electrónicos.</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lastRenderedPageBreak/>
              <w:t>III.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Registrar y mantener actualizado el banco de datos a que se refiere la fracción anterior, con la siguiente información que el patrón deberá proporcionar al emisor: el nombre, denominación o razón social, el número de registro patronal, clave en el RFC y el domicilio fiscal del patrón contratante de los monederos electrónicos, la asignación de recursos de cada monedero electrónico de vales de despensa, el nombre, clave en el RFC, CURP y en su caso, el número de seguridad social (NSS) del trabajador beneficiario del monedero electrónico de vales de despensa. Adicionalmente, el banco de datos deberá contener los saldos de los monederos electrónicos que le fueron asignados y el número de identificación del monedero, así como los datos de las operaciones realizadas con los mismos.</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IV.</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Emitir a los patrones contratantes de los monederos electrónicos de vales de despensa CFDI por las comisiones y otros cargos que les cobran, que contenga un complemento de vales de despensa en el que se incluya, al menos, el nombre y clave en el RFC del trabajador titular de cada monedero electrónico de vale de despensa, así como los fondos y saldos de cada cuenta, en términos de la regla2.7.1.8., así como el complemento de identificación de recurso y minuta de gastos por cuenta de terceros.</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Los patrones contratantes de los monederos electrónicos de vales de despensa, sólo podrán deducir los vales de despensa efectivamente entregados a los trabajadores y de los cuales proporcionaron al emisor autorizado la información establecida en la fracción anterior.</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V.</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Afiliar a comercios enajenantes de despensas, a través de la celebración de contratos, a efecto de que en dichos comercios pueda ser usado el monedero electrónico de vales de despensa, para lo cual utilizarán los prototipos que presentaron en términos del numeral 1 de la ficha de trámite 10/ISR "Solicitud de autorización para emitir monederos electrónicos de vales de despensa", contenida en el Anexo 1-A. Tratándose de emisores autorizados de monederos electrónicos de vales de despensa que también enajenan despensas con sus propios monederos electrónicos autorizados en lugar del contrato, deberán conservar como parte de su contabilidad, registros que permitan identificar que los monederos electrónicos únicamente fueron utilizados para la adquisición de despensas; cuando afilien a otros comercios deberán celebrar los contratos de referencia.</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color w:val="2F2F2F"/>
                <w:sz w:val="18"/>
                <w:szCs w:val="18"/>
                <w:lang w:eastAsia="es-ES"/>
              </w:rPr>
              <w:t> </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El emisor autorizado de monederos electrónicos de vales de despensa, podrá dar cumplimiento a la obligación en cita, a través de un agregador, para tal efecto, deberá contar con el contrato celebrado con el agregador y con los contratos celebrados entre el agregador y cada uno de los comercios afiliados por éste.</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Para efectos de esta Resolución se entenderá por agregador, al participante en Redes que, al amparo de un contrato de prestación de servicios celebrado con un Adquirente ofrece a Receptores de Pagos el servicio de aceptación de Pagos con Tarjetas y, en su caso, provee la infraestructura de Terminales Puntos de Venta conectadas a dichas redes.</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Asimismo, deberán publicar en su página de Internet una lista de los comercios afiliados.</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VI.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Celebrar contratos directos con los patrones contratantes de los monederos electrónicos de vales de despensa, cumpliendo con los requisitos del numeral 1 de la ficha de trámite 10/ISR "Solicitud de autorización para emitir monederos electrónicos de vales de despensa", contenida en el Anexo 1-A.</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VII.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Presentar los avisos correspondientes conforme a lo establecido en la ficha de trámite 12/ISR "Aviso de actualización de datos de los emisores autorizados de monederos electrónicos de vales de despensa", contenida en el Anexo 1-A.</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VIII.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Cumplir con las obligaciones y requisitos a que se refiere el Anexo 28.</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IX.</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Mantener a disposición de las autoridades fiscales la información de las operaciones realizadas con los monederos electrónicos de vales de despensa, así como cualquier información y documentación relacionada con la autorización, durante el plazo que establece el artículo 30 del CFF.</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X.</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Comunicar a la AGCTI los cambios tecnológicos que se pretendan realizar con posterioridad a la obtención de la autorización como emisor autorizado de monederos electrónicos de vales de despensa de conformidad con la ficha de trámite 121/ISR "Aviso de control de cambios tecnológicos para emisor autorizado de monederos electrónicos de vales de despensa", contenida en el Anexo 1-A.</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Para tal efecto, el emisor deberá usar el catálogo de cambios que se señala a continuación:</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a)</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Alta, baja y cambio en infraestructura de hardware, software, base de datos y aplicativo.</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b)</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Cambio de centro de datos o proveedores de TI.</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c)</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Cambio de proveedor transaccional.</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Cuando la AGCTI, detecte algún riesgo en la implementación de los cambios tecnológicos, de confidencialidad, integridad, disponibilidad y seguridad de la información o cualquier otra de las obligaciones relacionadas con la autorización, podrá emitir recomendaciones especificando los riesgos y las mejores prácticas para mitigarlos, éstas deberán ser consideradas por el emisor autorizado.</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XI.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Cuando el emisor autorizado, emita un nuevo monedero independiente a los presentados para obtener la autorización como emisor de monederos electrónicos de vales de despensa, lo someterá a una nueva valoración técnica para su autorización, conforme a lo establecido en la regla 3.3.1.17., para el cumplimiento de la ficha de trámite 9/ISR "Solicitud de validación y opinión técnica del cumplimiento de requisitos tecnológicos y de seguridad para solicitar la autorización para emitir monederos electrónicos de vales de despensa", contenida en el Anexo 1-A.</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XII.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Contar por lo menos con una certificación anual favorable de cumplimiento de requisitos y obligaciones, emitida por un órgano certificador autorizado por el SAT, de acuerdo al artículo 32-I del CFF.</w:t>
            </w:r>
          </w:p>
          <w:p w:rsidR="00C259DA" w:rsidRPr="00C259DA" w:rsidRDefault="00C259DA" w:rsidP="00C259DA">
            <w:pPr>
              <w:spacing w:after="101" w:line="240" w:lineRule="auto"/>
              <w:ind w:hanging="1152"/>
              <w:jc w:val="both"/>
              <w:rPr>
                <w:rFonts w:ascii="Arial" w:eastAsia="Times New Roman" w:hAnsi="Arial" w:cs="Arial"/>
                <w:color w:val="2F2F2F"/>
                <w:sz w:val="18"/>
                <w:szCs w:val="18"/>
                <w:lang w:val="en-US"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val="en-US" w:eastAsia="es-ES"/>
              </w:rPr>
              <w:t>CFF 29, 29-A, 30, 32-I, LISR 27, RMF 2018 2.7.1.8., 3.3.1.17., 3.3.1.22.</w:t>
            </w:r>
          </w:p>
          <w:p w:rsidR="00C259DA" w:rsidRPr="00C259DA" w:rsidRDefault="00C259DA" w:rsidP="00C259DA">
            <w:pPr>
              <w:spacing w:after="101" w:line="240" w:lineRule="auto"/>
              <w:ind w:hanging="1152"/>
              <w:jc w:val="both"/>
              <w:rPr>
                <w:rFonts w:ascii="Arial" w:eastAsia="Times New Roman" w:hAnsi="Arial" w:cs="Arial"/>
                <w:color w:val="2F2F2F"/>
                <w:sz w:val="18"/>
                <w:szCs w:val="18"/>
                <w:lang w:val="en-US" w:eastAsia="es-ES"/>
              </w:rPr>
            </w:pPr>
            <w:r w:rsidRPr="00C259DA">
              <w:rPr>
                <w:rFonts w:ascii="Arial" w:eastAsia="Times New Roman" w:hAnsi="Arial" w:cs="Arial"/>
                <w:color w:val="2F2F2F"/>
                <w:sz w:val="18"/>
                <w:szCs w:val="18"/>
                <w:lang w:val="en-US" w:eastAsia="es-ES"/>
              </w:rPr>
              <w:lastRenderedPageBreak/>
              <w:t> </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val="en-US" w:eastAsia="es-ES"/>
              </w:rPr>
              <w:t>                   </w:t>
            </w:r>
            <w:r w:rsidRPr="00C259DA">
              <w:rPr>
                <w:rFonts w:ascii="Arial" w:eastAsia="Times New Roman" w:hAnsi="Arial" w:cs="Arial"/>
                <w:b/>
                <w:bCs/>
                <w:color w:val="2F2F2F"/>
                <w:sz w:val="18"/>
                <w:szCs w:val="18"/>
                <w:lang w:eastAsia="es-ES"/>
              </w:rPr>
              <w:t>Causas de revocación de la autorización para emitir monederos electrónicos de vales de despensa</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3.3.1.21.</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Para los efectos del artículo 27, fracción XI, primer párrafo de la Ley del ISR, el SAT podrá revocar la autorización para emitir monederos electrónicos de vales de despensa, por cualquiera de las siguientes causas:</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Cuando la autoridad fiscal detecte que los emisores autorizados de monederos electrónicos de vales de despensa han dejado de cumplir con los requisitos establecidos en la regla 3.3.1.17.</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Cuando transcurrido el plazo señalado en el segundo párrafo de la regla 3.3.1.20., el emisor autorizado no desvirtúe el o los incumplimientos detectados por la ACSMC y ésta informe sobre los mismos a la AGJ.</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Cuando se graven, cedan o transmitan parcial o totalmente los derechos derivados de la autorización.</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IV.</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Cuando el emisor autorizado no facilite, impida, obstaculice o se oponga a que la autoridad fiscal o el tercero habilitado por ésta lleve a cabo la verificación y supervisión del cumplimiento de cualquiera de los requisitos y obligaciones que debe cumplir como emisor autorizado, o bien, proporcione información falsa relacionada con los mismos, incluso si aquélla es proporcionada por cualquiera de las personas relacionadas con la autorización.</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V.</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Cuando se incumplan los requisitos y obligaciones que se señalen en la autorización y el Anexo 28.</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VI.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Cuando el emisor autorizado sea publicado en la lista a que se refiere el artículo 69-B, tercer párrafo del CFF.</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VII.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Cuando en su caso, el emisor autorizado incumpla con cualquiera de las obligaciones previstas en la regla 3.3.1.19.</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VIII.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Se encuentre sujeto a concurso mercantil en etapa de conciliación y quiebra.</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IX.</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Hubiera cometido o participado en la comisión de delitos de carácter fiscal.</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X.</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Cuando el contribuyente se encuentre como no localizado, cancelado o suspendido en el RFC.</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XI.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Cuando no presente los avisos a que se refiere la ficha de trámite 12/ISR "Aviso de actualización de datos de los emisores autorizados de monederos electrónicos de vales de despensa", contenida en el Anexo 1-A.</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XII.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Cuando el emisor autorizado no ejerza la autorización ni realice la prestación del servicio por la cual le fue otorgada la misma, en el ejercicio fiscal de que se trate.</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XIII.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No haber obtenido por lo menos una certificación anual favorable de cumplimiento de requisitos y obligaciones, emitida por un órgano certificador autorizado por el SAT, de conformidad con el artículo 32-I del CFF.</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Al emisor de monederos electrónicos de vales de despensa que le haya sido revocada su autorización, no podrá obtenerla de nueva cuenta en los doce meses posteriores a aquél en el que le haya sido revocada.</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Los monederos electrónicos de vales de despensa emitidos durante el periodo de vigencia de la autorización y que a la fecha de revocación no hayan sido utilizados, podrán utilizarse hasta agotar el saldo original de los mismos, siempre y cuando éstos hayan sido efectivamente entregados a los beneficiarios para su uso.</w:t>
            </w:r>
          </w:p>
          <w:p w:rsidR="00C259DA" w:rsidRPr="00C259DA" w:rsidRDefault="00C259DA" w:rsidP="00C259DA">
            <w:pPr>
              <w:spacing w:after="101" w:line="240" w:lineRule="auto"/>
              <w:ind w:hanging="1152"/>
              <w:jc w:val="both"/>
              <w:rPr>
                <w:rFonts w:ascii="Arial" w:eastAsia="Times New Roman" w:hAnsi="Arial" w:cs="Arial"/>
                <w:color w:val="2F2F2F"/>
                <w:sz w:val="18"/>
                <w:szCs w:val="18"/>
                <w:lang w:val="en-US"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val="en-US" w:eastAsia="es-ES"/>
              </w:rPr>
              <w:t>CFF 32-I, 69-B, LISR 27, RMF 2018 3.3.1.16., 3.3.1.17., 3.3.1.19., 3.3.1.20.</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val="en-US" w:eastAsia="es-ES"/>
              </w:rPr>
              <w:t>                   </w:t>
            </w:r>
            <w:r w:rsidRPr="00C259DA">
              <w:rPr>
                <w:rFonts w:ascii="Arial" w:eastAsia="Times New Roman" w:hAnsi="Arial" w:cs="Arial"/>
                <w:b/>
                <w:bCs/>
                <w:color w:val="2F2F2F"/>
                <w:sz w:val="18"/>
                <w:szCs w:val="18"/>
                <w:lang w:eastAsia="es-ES"/>
              </w:rPr>
              <w:t>Procedimiento para dejar sin efectos la autorización para emitir monederos electrónicos de vales de despensa</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3.3.1.47.</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Los contribuyentes que hayan obtenido la autorización para operar como emisores de monederos electrónicos de vales de despensa que deseen que dicha autorización quede sin efectos por así convenir a sus intereses, deberán presentar un aviso conforme a la ficha de trámite 122/ISR "Aviso para dejar sin efectos la autorización para emitir monederos electrónicos de vales de despensa", contenida en el Anexo 1-A, en el que soliciten dejar sin efectos dicha autorización e indiquen la fecha y hora en la que dejarán de operar.</w:t>
            </w:r>
          </w:p>
          <w:p w:rsidR="00C259DA" w:rsidRPr="00C259DA" w:rsidRDefault="00C259DA" w:rsidP="00C259DA">
            <w:pPr>
              <w:spacing w:after="60"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18"/>
                <w:szCs w:val="18"/>
                <w:lang w:eastAsia="es-ES"/>
              </w:rPr>
              <w:t> </w:t>
            </w:r>
          </w:p>
          <w:p w:rsidR="00C259DA" w:rsidRPr="00C259DA" w:rsidRDefault="00C259DA" w:rsidP="00C259DA">
            <w:pPr>
              <w:spacing w:after="60"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La AGJ valorará la procedencia del aviso y en caso de estimarlo pertinente solicitará la opinión de carácter tecnológico de la AGCTI y posteriormente emitirá respuesta al solicitante.</w:t>
            </w:r>
          </w:p>
          <w:p w:rsidR="00C259DA" w:rsidRPr="00C259DA" w:rsidRDefault="00C259DA" w:rsidP="00C259DA">
            <w:pPr>
              <w:spacing w:after="60"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En el supuesto que la valoración sea en el sentido de dejar sin efectos la autorización, el emisor autorizado deberá continuar prestando el servicio de emisión de monederos electrónicos durante un periodo de transición de noventa días, contados a partir de la fecha y hora manifestada en dicho aviso, debiendo cumplir con lo siguiente:</w:t>
            </w:r>
          </w:p>
          <w:p w:rsidR="00C259DA" w:rsidRPr="00C259DA" w:rsidRDefault="00C259DA" w:rsidP="00C259DA">
            <w:pPr>
              <w:spacing w:after="60"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1.</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Publicar en un lugar visible en su página de Internet un "AVISO URGENTE" con la siguiente leyenda:</w:t>
            </w:r>
          </w:p>
          <w:p w:rsidR="00C259DA" w:rsidRPr="00C259DA" w:rsidRDefault="00C259DA" w:rsidP="00C259DA">
            <w:pPr>
              <w:spacing w:after="60"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eastAsia="es-ES"/>
              </w:rPr>
              <w:t>"Estimado usuario, se le informa que el día __ de _____ de 201_, vence el periodo de transición de noventa días que nos fue otorgado por el SAT, derivado de que dejará de surtir efectos la autorización otorgada por el SAT para operar como emisor autorizado de monederos electrónicos de vales de despensa, por lo que se le hace una atenta invitación para contratar a cualquiera de los emisorespublicados como autorizados en el Portal del SAT."</w:t>
            </w:r>
          </w:p>
          <w:p w:rsidR="00C259DA" w:rsidRPr="00C259DA" w:rsidRDefault="00C259DA" w:rsidP="00C259DA">
            <w:pPr>
              <w:spacing w:after="60"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2.</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Informar mediante correo electrónico a todos sus clientes, el mensaje señalado en el numeral anterior, solicitando la confirmación de recepción del mensaje</w:t>
            </w:r>
          </w:p>
          <w:p w:rsidR="00C259DA" w:rsidRPr="00C259DA" w:rsidRDefault="00C259DA" w:rsidP="00C259DA">
            <w:pPr>
              <w:spacing w:after="60"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3.</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Presentar durante el mes siguiente a aquél en el que dé inicio el periodo de transición, a través del Portal del SAT los archivos que contengan por cada uno de sus clientes, copia del aviso remitido mediante correo electrónico y, de contar con ella, la confirmación de recepción por parte de sus clientes.</w:t>
            </w:r>
          </w:p>
          <w:p w:rsidR="00C259DA" w:rsidRPr="00C259DA" w:rsidRDefault="00C259DA" w:rsidP="00C259DA">
            <w:pPr>
              <w:spacing w:after="60"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4.</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Abstenerse de contratar u ofrecer por cualquier medio la emisión de monederos electrónicos a nuevos clientes.</w:t>
            </w:r>
          </w:p>
          <w:p w:rsidR="00C259DA" w:rsidRPr="00C259DA" w:rsidRDefault="00C259DA" w:rsidP="00C259DA">
            <w:pPr>
              <w:spacing w:after="60"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5.</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Cumplir con los controles tecnológicos y de seguridad de la información, derivados de la revocación de la autorización para operar como emisor de monederos electrónicos, contenidos en el Anexo 28 y con las demás obligaciones que se indiquen en el oficio que para tales efectos notifique la autoridad fiscal.</w:t>
            </w:r>
          </w:p>
          <w:p w:rsidR="00C259DA" w:rsidRPr="00C259DA" w:rsidRDefault="00C259DA" w:rsidP="00C259DA">
            <w:pPr>
              <w:spacing w:after="60"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lastRenderedPageBreak/>
              <w:t>                   </w:t>
            </w:r>
            <w:r w:rsidRPr="00C259DA">
              <w:rPr>
                <w:rFonts w:ascii="Arial" w:eastAsia="Times New Roman" w:hAnsi="Arial" w:cs="Arial"/>
                <w:color w:val="2F2F2F"/>
                <w:sz w:val="18"/>
                <w:szCs w:val="18"/>
                <w:lang w:eastAsia="es-ES"/>
              </w:rPr>
              <w:t>La publicación del aviso a que se refiere el numeral 1, así como el envío del correo señalado en el numeral 2, deberán realizarse a más tardar dentro de los tres días naturales siguientes a aquél en que inicie el periodo de transición.</w:t>
            </w:r>
          </w:p>
          <w:p w:rsidR="00C259DA" w:rsidRPr="00C259DA" w:rsidRDefault="00C259DA" w:rsidP="00C259DA">
            <w:pPr>
              <w:spacing w:after="60"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eastAsia="es-ES"/>
              </w:rPr>
              <w:t>RMF 2018 3.3.1.17.</w:t>
            </w:r>
          </w:p>
          <w:p w:rsidR="00C259DA" w:rsidRPr="00C259DA" w:rsidRDefault="00C259DA" w:rsidP="00C259DA">
            <w:pPr>
              <w:spacing w:after="60"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b/>
                <w:bCs/>
                <w:color w:val="2F2F2F"/>
                <w:sz w:val="18"/>
                <w:szCs w:val="18"/>
                <w:lang w:eastAsia="es-ES"/>
              </w:rPr>
              <w:t>Procedimiento para dejar sin efectos la autorización para emitir monederos electrónicos utilizados en la adquisición de combustibles para vehículos marítimos, aéreos y terrestres</w:t>
            </w:r>
          </w:p>
          <w:p w:rsidR="00C259DA" w:rsidRPr="00C259DA" w:rsidRDefault="00C259DA" w:rsidP="00C259DA">
            <w:pPr>
              <w:spacing w:after="60"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3.3.1.48.</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Los contribuyentes que hayan obtenido la autorización para operar como emisores de monederos electrónicos utilizados en la adquisición de combustibles para vehículos marítimos, aéreos y terrestres que deseen que dicha autorización quede sin efectos por así convenir a sus intereses, deberán presentar un aviso conforme a la ficha de trámite 120/ISR "Aviso para dejar sin efectos la autorización para emitir monederos electrónicos utilizados enla adquisición de combustibles para vehículos marítimos, aéreos y terrestres", contenida en el Anexo 1-A, en el que soliciten dejar sin efectos dicha autorización e indiquen la fecha y hora en la que dejarán de operar.</w:t>
            </w:r>
          </w:p>
          <w:p w:rsidR="00C259DA" w:rsidRPr="00C259DA" w:rsidRDefault="00C259DA" w:rsidP="00C259DA">
            <w:pPr>
              <w:spacing w:after="60"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La AGJ valorará la procedencia del aviso y en caso de estimarlo pertinente solicitará la opinión de carácter tecnológico de la AGCTI y posteriormente, emitirá respuesta al solicitante.</w:t>
            </w:r>
          </w:p>
          <w:p w:rsidR="00C259DA" w:rsidRPr="00C259DA" w:rsidRDefault="00C259DA" w:rsidP="00C259DA">
            <w:pPr>
              <w:spacing w:after="60"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En el supuesto de que la valoración sea en el sentido de dejar sin efectos la autorización, el emisor autorizado deberá continuar prestando el servicio durante un periodo de transición de noventa días, contados a partir de la fecha y hora manifestada en dicho aviso, debiendo cumplir con lo siguiente:</w:t>
            </w:r>
          </w:p>
          <w:p w:rsidR="00C259DA" w:rsidRPr="00C259DA" w:rsidRDefault="00C259DA" w:rsidP="00C259DA">
            <w:pPr>
              <w:spacing w:after="60"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1.</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Publicar en un lugar visible en su página de Internet un "AVISO URGENTE" con la siguiente leyenda:</w:t>
            </w:r>
          </w:p>
          <w:p w:rsidR="00C259DA" w:rsidRPr="00C259DA" w:rsidRDefault="00C259DA" w:rsidP="00C259DA">
            <w:pPr>
              <w:spacing w:after="60"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eastAsia="es-ES"/>
              </w:rPr>
              <w:t>"Estimado usuario, se le informa que el día __ de _____ de 201_, vence el periodo de transición de noventa días que nos fue otorgado por el SAT, derivado de que dejará de surtir efectos la autorización otorgada por el SAT para operar como emisor autorizado de monederos electrónicos utilizados en la adquisición de combustibles para vehículos marítimos, aéreos y terrestres, por lo que se le hace una atenta invitación para contratar a cualquiera de los emisores publicados como autorizados en el Portal del SAT."</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color w:val="2F2F2F"/>
                <w:sz w:val="18"/>
                <w:szCs w:val="18"/>
                <w:lang w:eastAsia="es-ES"/>
              </w:rPr>
              <w:t> </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2.</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Informar mediante correo electrónico a todos sus clientes, el mensaje señalado en el numeral anterior, solicitando la confirmación de recepción del mensaje</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3.</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Presentar durante el mes siguiente a aquél en el que dé inicio el periodo de transición, a través del Portal del SAT los archivos que contengan por cada uno de sus clientes, copia del aviso remitido mediante correo electrónico y, de contar con ella, la confirmación de recepción por parte de sus clientes.</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4.</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Abstenerse de contratar u ofrecer por cualquier medio la emisión de monederos electrónicos a nuevos clientes.</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5.</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Cumplir con los controles tecnológicos y de seguridad de la información, derivados de la revocación de la autorización para operar como emisor de monederos electrónicos, contenidos en el Anexo 28 y con las demás obligaciones que se indiquen en el oficio que para tales efectos notifique la autoridad fiscal.</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La publicación del aviso a que se refiere el numeral 1, así como el envío del correo señalado en el numeral 2, deberán realizarse a más tardar dentro de los tres días naturales siguientes a aquél en que inicie el periodo de transición.</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eastAsia="es-ES"/>
              </w:rPr>
              <w:t>RMF 2018 3.3.1.8.</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b/>
                <w:bCs/>
                <w:color w:val="2F2F2F"/>
                <w:sz w:val="18"/>
                <w:szCs w:val="18"/>
                <w:lang w:eastAsia="es-ES"/>
              </w:rPr>
              <w:t>Procedimiento por el cual el contratante realiza la consulta de la información autorizada por el contratista por actividades de subcontratación laboral</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3.3.1.50.</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Para efectos de los artículos 27, fracción V, último párrafo de la Ley del ISR, 5, fracción II y 32, fracción VIII de la Ley del IVA y de la regla 3.3.1.44., se realizará el siguiente procedimiento:</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A.</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El contratante ingresará al aplicativo "Consulta por el contratante de CFDI y declaraciones" disponible en el buzón tributario, a partir del último día del mes inmediato posterior que se requiera consultar, y deberá:</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w:t>
            </w:r>
            <w:r w:rsidRPr="00C259DA">
              <w:rPr>
                <w:rFonts w:ascii="Arial" w:eastAsia="Times New Roman" w:hAnsi="Arial" w:cs="Arial"/>
                <w:color w:val="2F2F2F"/>
                <w:sz w:val="18"/>
                <w:szCs w:val="18"/>
                <w:lang w:eastAsia="es-ES"/>
              </w:rPr>
              <w:t> </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Seleccionar el período y ejercicio de la información que desea consultar del contratista. Dicho período debe estar dentro del rango autorizado por el contratante.</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II.</w:t>
            </w:r>
            <w:r w:rsidRPr="00C259DA">
              <w:rPr>
                <w:rFonts w:ascii="Arial" w:eastAsia="Times New Roman" w:hAnsi="Arial" w:cs="Arial"/>
                <w:color w:val="2F2F2F"/>
                <w:sz w:val="18"/>
                <w:szCs w:val="18"/>
                <w:lang w:eastAsia="es-ES"/>
              </w:rPr>
              <w:t> </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Identificar los CFDI con los que se realizó el pago de los servicios de subcontratación y confirmar el importe del IVA pagado, así como la fecha de pago.</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III.</w:t>
            </w:r>
            <w:r w:rsidRPr="00C259DA">
              <w:rPr>
                <w:rFonts w:ascii="Arial" w:eastAsia="Times New Roman" w:hAnsi="Arial" w:cs="Arial"/>
                <w:color w:val="2F2F2F"/>
                <w:sz w:val="18"/>
                <w:szCs w:val="18"/>
                <w:lang w:eastAsia="es-ES"/>
              </w:rPr>
              <w:t> </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Verificar y validar que el nombre y el número de trabajadores por los que recibió la autorización descrita en la regla 3.3.1.49., Apartado A, fracción II coinciden con el contrato objeto de la subcontratación.</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IV.</w:t>
            </w:r>
            <w:r w:rsidRPr="00C259DA">
              <w:rPr>
                <w:rFonts w:ascii="Arial" w:eastAsia="Times New Roman" w:hAnsi="Arial" w:cs="Arial"/>
                <w:color w:val="2F2F2F"/>
                <w:sz w:val="18"/>
                <w:szCs w:val="18"/>
                <w:lang w:eastAsia="es-ES"/>
              </w:rPr>
              <w:t> </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Deberá generar con su e.firma y conservar como parte de su contabilidad, el acuse relativo a la consulta de la información autorizada por el contratista.</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B. </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Se considerará que el contratante no cumple con los requisitos de deducibilidad o acreditamiento que establecen los artículos 27, fracción V, último párrafo de la Ley del ISR, así como 5, fracción II y 32, fracción VIII de la Ley del IVA cuando el acuse que emite el aplicativo "Consulta por el contratante de CFDI y declaraciones", señale inconsistencias en el período y ejercicio seleccionado.</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Las inconsistencias en el período y ejercicio seleccionado en que incurre el contratista pueden ser cualquiera de las siguientes y se muestran en el aplicativo a que se refiere el Apartado A de esta regla, con las siguientes leyendas:</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w:t>
            </w:r>
            <w:r w:rsidRPr="00C259DA">
              <w:rPr>
                <w:rFonts w:ascii="Arial" w:eastAsia="Times New Roman" w:hAnsi="Arial" w:cs="Arial"/>
                <w:color w:val="2F2F2F"/>
                <w:sz w:val="18"/>
                <w:szCs w:val="18"/>
                <w:lang w:eastAsia="es-ES"/>
              </w:rPr>
              <w:t> </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"La (s) declaración (es) de retenciones por salarios no fue (ron) presentada (s)."</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Cuando existe omisión en la presentación de la declaración mensual provisional del ISR de un período determinado.</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II.</w:t>
            </w:r>
            <w:r w:rsidRPr="00C259DA">
              <w:rPr>
                <w:rFonts w:ascii="Arial" w:eastAsia="Times New Roman" w:hAnsi="Arial" w:cs="Arial"/>
                <w:color w:val="2F2F2F"/>
                <w:sz w:val="18"/>
                <w:szCs w:val="18"/>
                <w:lang w:eastAsia="es-ES"/>
              </w:rPr>
              <w:t> </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"La (s) declaración (es) del Impuesto al Valor Agregado no fue (ron) presentada (s)."</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lastRenderedPageBreak/>
              <w:t>       </w:t>
            </w:r>
            <w:r w:rsidRPr="00C259DA">
              <w:rPr>
                <w:rFonts w:ascii="Arial" w:eastAsia="Times New Roman" w:hAnsi="Arial" w:cs="Arial"/>
                <w:color w:val="2F2F2F"/>
                <w:sz w:val="18"/>
                <w:szCs w:val="18"/>
                <w:lang w:eastAsia="es-ES"/>
              </w:rPr>
              <w:t>Cuando existe omisión en la presentación de la declaración del IVA de un período determinado.</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color w:val="2F2F2F"/>
                <w:sz w:val="18"/>
                <w:szCs w:val="18"/>
                <w:lang w:eastAsia="es-ES"/>
              </w:rPr>
              <w:t> </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III.</w:t>
            </w:r>
            <w:r w:rsidRPr="00C259DA">
              <w:rPr>
                <w:rFonts w:ascii="Arial" w:eastAsia="Times New Roman" w:hAnsi="Arial" w:cs="Arial"/>
                <w:color w:val="2F2F2F"/>
                <w:sz w:val="18"/>
                <w:szCs w:val="18"/>
                <w:lang w:eastAsia="es-ES"/>
              </w:rPr>
              <w:t> </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"No se identifican CFDI del pago de servicios de subcontratación laboral relacionados con el contratista antes referido."</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w:t>
            </w:r>
            <w:r w:rsidRPr="00C259DA">
              <w:rPr>
                <w:rFonts w:ascii="Arial" w:eastAsia="Times New Roman" w:hAnsi="Arial" w:cs="Arial"/>
                <w:color w:val="2F2F2F"/>
                <w:sz w:val="18"/>
                <w:szCs w:val="18"/>
                <w:lang w:eastAsia="es-ES"/>
              </w:rPr>
              <w:t> </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Cuando no exista información de los CFDI del pago de la contraprestación del servicio emitido por el contratista.</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ii.</w:t>
            </w:r>
            <w:r w:rsidRPr="00C259DA">
              <w:rPr>
                <w:rFonts w:ascii="Arial" w:eastAsia="Times New Roman" w:hAnsi="Arial" w:cs="Arial"/>
                <w:color w:val="2F2F2F"/>
                <w:sz w:val="18"/>
                <w:szCs w:val="18"/>
                <w:lang w:eastAsia="es-ES"/>
              </w:rPr>
              <w:t> </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Cuando el contratante no confirme el pago de la contraprestación del servicio.</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IV.</w:t>
            </w:r>
            <w:r w:rsidRPr="00C259DA">
              <w:rPr>
                <w:rFonts w:ascii="Arial" w:eastAsia="Times New Roman" w:hAnsi="Arial" w:cs="Arial"/>
                <w:color w:val="2F2F2F"/>
                <w:sz w:val="18"/>
                <w:szCs w:val="18"/>
                <w:lang w:eastAsia="es-ES"/>
              </w:rPr>
              <w:t> </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"El total de la suma de las retenciones de sueldos y salarios del Impuesto Sobre la Renta en los CFDI emitidos por el contratista es mayor al importe total de retenciones de sueldos y salarios de la(s) declaración(es) de los pagos provisionales mensuales del Impuesto Sobre la Renta del contratista."</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Cuando el total de la suma de las retenciones de sueldos y salarios del ISR, en los CFDI emitidos por el contratista a los trabajadores objeto del contrato, es mayor al importe total de retenciones de sueldos y salarios de las declaraciones de los pagos provisionales mensuales del ISR del contratista.</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V.</w:t>
            </w:r>
            <w:r w:rsidRPr="00C259DA">
              <w:rPr>
                <w:rFonts w:ascii="Arial" w:eastAsia="Times New Roman" w:hAnsi="Arial" w:cs="Arial"/>
                <w:color w:val="2F2F2F"/>
                <w:sz w:val="18"/>
                <w:szCs w:val="18"/>
                <w:lang w:eastAsia="es-ES"/>
              </w:rPr>
              <w:t> </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"El total de la suma de las retenciones de asimilados a salarios del Impuesto Sobre la Renta en los CFDI emitidos por el contratista es mayor al importe total de retenciones de asimilados a salarios de la(s) declaración(es) de los pagos provisionales mensuales de Impuesto Sobre la Renta del contratista."</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Cuando el total de la suma de las retenciones de asimilados a salarios del ISR, en los CFDI emitidos por el contratista a los trabajadores objeto del contrato, es mayor al importe total de retenciones de asimilados a salarios de las declaraciones de los pagos provisionales mensuales del ISR del contratista.</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VI.</w:t>
            </w:r>
            <w:r w:rsidRPr="00C259DA">
              <w:rPr>
                <w:rFonts w:ascii="Arial" w:eastAsia="Times New Roman" w:hAnsi="Arial" w:cs="Arial"/>
                <w:color w:val="2F2F2F"/>
                <w:sz w:val="18"/>
                <w:szCs w:val="18"/>
                <w:lang w:eastAsia="es-ES"/>
              </w:rPr>
              <w:t> </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"El importe de Impuesto al Valor Agregado pagado de los CFDI emitidos por el contratista por el pago del servicio prestado es mayor al importe total del renglón Impuesto al Valor Agregado trasladado de la(s) declaración(es) del pago definitivo de Impuesto al Valor Agregado del contratista."</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Cuando el importe del IVA pagado de los CFDI emitidos por el contratista por el pago de la contraprestación del servicio prestado, es mayor al importe total del renglón IVA trasladado, de las declaraciones del pago definitivo del IVA del contratista.</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VII.</w:t>
            </w:r>
            <w:r w:rsidRPr="00C259DA">
              <w:rPr>
                <w:rFonts w:ascii="Arial" w:eastAsia="Times New Roman" w:hAnsi="Arial" w:cs="Arial"/>
                <w:color w:val="2F2F2F"/>
                <w:sz w:val="18"/>
                <w:szCs w:val="18"/>
                <w:lang w:eastAsia="es-ES"/>
              </w:rPr>
              <w:t> </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"Existen diferencias entre los trabajadores relacionados en la autorización del contratista y los validados en la consulta del contratante."</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Cuando el número de trabajadores objeto del contrato, validado por el contratante es menor, que el registrado por el contratista en el aplicativo "Autorización del contratista para la consulta de CFDI y declaraciones".</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VIII.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"Ninguno de los CFDI de nómina de los trabajadores con los cuales le prestó el servicio de subcontratación laboral derivado del contrato antes referido, fueron emitidos." Y en su caso la inconsistencia "No todos los CFDI de nómina de los trabajadores con los cuales le prestó el servicio de subcontratación laboral derivado del contrato antes referido, fueron emitidos."</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Cuando el contratista al ser el patrón de todos los trabajadores objeto del contrato, no haya expedido CFDI de nómina por sueldos y salarios a algunos o a todos los trabajadores objeto del contrato.</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El contratista no sea el patrón de algunos o de todos los trabajadores objeto del contrato y al realizar el contratante la consulta a que se refiere la fracción I de esta regla en la sección "Información de CFDI por pago de salarios emitidos al trabajador", se visualice el listado de los trabajadores que no tienen una relación laboral con el contratista y por tal razón no se pueden mostrar los CFDI de nómina por sueldos y salarios de dichos trabajadores.</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color w:val="2F2F2F"/>
                <w:sz w:val="18"/>
                <w:szCs w:val="18"/>
                <w:lang w:eastAsia="es-ES"/>
              </w:rPr>
              <w:t> </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IX.</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"Existen trabajadores que el contratista les emitió CFDI por asimilados a salarios."</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Cuando el contratista haya expedido CFDI de nómina distinto a sueldos y salarios a sus trabajadores objeto del contrato.</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X.</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"No se localizó información de ninguno de los CFDI del pago de cuotas obrero-patronales del IMSS." Y en su caso la inconsistencia "No todos los CFDI del pago de cuotas obrero-patronales del IMSS derivados del contrato antes referido, fueron emitidos".</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Se presenta cuando no se localicen todos los CFDI emitidos por el IMSS por concepto del pago de las cuotas obrero-patronales en los que el receptor sea el contratista.</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El acuse que emite el aplicativo "Consulta por el contratante de CFDI y declaraciones", se generará sin inconsistencias en el período y ejercicio seleccionado, una vez que el contratista corrija las mismas.</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C.</w:t>
            </w:r>
            <w:r w:rsidRPr="00C259DA">
              <w:rPr>
                <w:rFonts w:ascii="Arial" w:eastAsia="Times New Roman" w:hAnsi="Arial" w:cs="Arial"/>
                <w:color w:val="2F2F2F"/>
                <w:sz w:val="18"/>
                <w:szCs w:val="18"/>
                <w:lang w:eastAsia="es-ES"/>
              </w:rPr>
              <w:t> </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Para efectos de la deducibilidad del período y ejercicio, el contratante deberá contar con el acuse a que se refiere el Apartado A, fracción IV de esta regla, sin inconsistencias, y en caso de que se presente la inconsistencia indicada en el Apartado B, fracción VIII, numeral ii de esta regla, deberá contar con los acuses que señala la regla 3.3.1.49., Apartado C, además de cumplir con los demás requisitos que establecen las disposiciones fiscales.</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D.</w:t>
            </w:r>
            <w:r w:rsidRPr="00C259DA">
              <w:rPr>
                <w:rFonts w:ascii="Arial" w:eastAsia="Times New Roman" w:hAnsi="Arial" w:cs="Arial"/>
                <w:color w:val="2F2F2F"/>
                <w:sz w:val="18"/>
                <w:szCs w:val="18"/>
                <w:lang w:eastAsia="es-ES"/>
              </w:rPr>
              <w:t> </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Para efectos del acreditamiento del IVA causado por la prestación del servicio del período, el contratante requiere contar con el acuse a que se refiere el Apartado A, fracción IV, de esta regla, sin inconsistencias, y en caso de que se presente la inconsistencia indicada en el Apartado B, fracción VIII, numeral ii de esta regla, deberá contar con los acuses que se señalan en la regla 3.3.1.49., Apartado C, además de cumplir con los demás requisitos que establecen las disposiciones fiscales.</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 xml:space="preserve">Si el contratista no corrige las inconsistencias señaladas en los supuestos contenidos en el Apartado B, fracciones II, IV y VI, de esta regla el contratante, para efectos del acreditamiento del período, deberá presentar declaración complementaria de </w:t>
            </w:r>
            <w:r w:rsidRPr="00C259DA">
              <w:rPr>
                <w:rFonts w:ascii="Arial" w:eastAsia="Times New Roman" w:hAnsi="Arial" w:cs="Arial"/>
                <w:color w:val="2F2F2F"/>
                <w:sz w:val="18"/>
                <w:szCs w:val="18"/>
                <w:lang w:eastAsia="es-ES"/>
              </w:rPr>
              <w:lastRenderedPageBreak/>
              <w:t>acuerdo con lo establecido en el artículo 5 fracción II de la Ley del IVA.</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eastAsia="es-ES"/>
              </w:rPr>
              <w:t>LISR 27, LIVA 5, 32, RMF 2018 3.3.1.44., 3.3.1.49.</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b/>
                <w:bCs/>
                <w:color w:val="2F2F2F"/>
                <w:sz w:val="18"/>
                <w:szCs w:val="18"/>
                <w:lang w:eastAsia="es-ES"/>
              </w:rPr>
              <w:t>Se indica que la Bolsa Institucional de Valores es una bolsa de valores concesionada para los efectos de las leyes del ISR y CFF</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3.5.25.</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Para los efectos de lo establecido en los artículos 56, 126 y 166 de la Ley del ISR, en los que se hace mención a la enajenación de acciones a través de la Bolsa Mexicana de Valores concesionada en los términos de la Ley del Mercado de Valores, también queda comprendida la Bolsa Institucional de Valores concesionada en los términos de la Ley del Mercado de Valores.</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Asimismo, para efectos del artículo 16-C, fracción I del CFF, además de la Bolsa Mexicana de Valores y el Mercado Mexicano de Derivados, también se considerará como mercado reconocido la Bolsa Institucional de Valores concesionada en los términos de la Ley del Mercado de Valores.</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eastAsia="es-ES"/>
              </w:rPr>
              <w:t>CFF 16-C, LISR 56, 126, 166</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b/>
                <w:bCs/>
                <w:color w:val="2F2F2F"/>
                <w:sz w:val="18"/>
                <w:szCs w:val="18"/>
                <w:lang w:eastAsia="es-ES"/>
              </w:rPr>
              <w:t>Actualización de la UFIN que se adiciona al saldo de la CUFIN al pagarse el ISR diferido</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3.6.7.</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Para efectos de lo dispuesto en el artículo 65, fracción III de la Ley del ISR, el monto de la utilidad fiscal neta que se adicione al saldo de la cuenta de utilidad fiscal neta del ejercicio en que ocurra el pago del impuesto diferido, podrá actualizarse por el periodo comprendido desde el mes en que se debió haber pagado el impuesto de no haberse ejercido la opción a que se refiere el Capítulo VI del Título II de la Ley del ISR, hasta la fecha en que sepresente la declaración en la cual se realice el pago del impuesto diferido de conformidad con el artículo 67, primer párrafo de la Ley del ISR.</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18"/>
                <w:szCs w:val="18"/>
                <w:lang w:eastAsia="es-ES"/>
              </w:rPr>
              <w:t> </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Lo dispuesto en la presente regla quedará condicionado a que el contribuyente realice el entero del ISR diferido actualizado a que se refiere el artículo 67, segundo párrafo de la citada Ley.</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eastAsia="es-ES"/>
              </w:rPr>
              <w:t>LISR 65, 67</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b/>
                <w:bCs/>
                <w:color w:val="2F2F2F"/>
                <w:sz w:val="18"/>
                <w:szCs w:val="18"/>
                <w:lang w:eastAsia="es-ES"/>
              </w:rPr>
              <w:t>Plazo para presentar información de partes relacionadas residentes en el extranjero por contribuyentes que opten o que tengan la obligación de dictaminar sus estados financieros</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3.9.3.</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Para los efectos de los artículos 76, fracción X y 110, fracción X de la Ley del ISR, los contribuyentes que hayan ejercido la opción o que tengan la obligación a que se refiere el artículo 32-A del CFF, podrán presentar la información que corresponda al ejercicio fiscal de que se trate a que se refieren dichas fracciones, a más tardar en la fecha en que deban presentar el dictamen de estados financieros.</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Al efecto, los contribuyentes podrán presentar en esa misma fecha, la declaración informativa local de partes relacionadas a que se refiere el artículo 76-A, fracción II de la Ley del ISR.</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eastAsia="es-ES"/>
              </w:rPr>
              <w:t>CFF 32-A, LISR 76, 76-A, 110</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b/>
                <w:bCs/>
                <w:color w:val="2F2F2F"/>
                <w:sz w:val="18"/>
                <w:szCs w:val="18"/>
                <w:lang w:eastAsia="es-ES"/>
              </w:rPr>
              <w:t>Facilidad para no presentar información de operaciones con partes relacionadas para las transacciones que se indican</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3.9.4.</w:t>
            </w:r>
            <w:r w:rsidRPr="00C259DA">
              <w:rPr>
                <w:rFonts w:ascii="Arial" w:eastAsia="Times New Roman" w:hAnsi="Arial" w:cs="Arial"/>
                <w:color w:val="2F2F2F"/>
                <w:sz w:val="20"/>
                <w:szCs w:val="20"/>
                <w:lang w:eastAsia="es-ES"/>
              </w:rPr>
              <w:t>           </w:t>
            </w:r>
            <w:r w:rsidRPr="00C259DA">
              <w:rPr>
                <w:rFonts w:ascii="Arial" w:eastAsia="Times New Roman" w:hAnsi="Arial" w:cs="Arial"/>
                <w:b/>
                <w:bCs/>
                <w:color w:val="2F2F2F"/>
                <w:sz w:val="18"/>
                <w:szCs w:val="18"/>
                <w:lang w:eastAsia="es-ES"/>
              </w:rPr>
              <w:t>(Se deroga)</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b/>
                <w:bCs/>
                <w:color w:val="2F2F2F"/>
                <w:sz w:val="18"/>
                <w:szCs w:val="18"/>
                <w:lang w:eastAsia="es-ES"/>
              </w:rPr>
              <w:t>Plazo para presentar información de partes relacionadas residentes en el extranjero por contribuyentes que no dictaminen sus estados financieros</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3.9.18.</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Para los efectos de los artículos 76, fracción X y 110, fracción X de la Ley del ISR en relación con lo dispuesto en la regla 2.8.4.1., los contribuyentes que no dictaminen sus estados financieros para efectos fiscales, podrán presentar la información que corresponda al ejercicio fiscal de que se trate a que se refieren dichas fracciones, contenida en el Anexo 9 de la DIM, a más tardar el 30 de junio del año inmediato posterior a la terminación delejercicio de que se trate, siempre que, en su caso, exista consistencia con la información declarada en términos del artículo 76-A, fracción II de la Ley del ISR, por lo cual los contribuyentes podrán presentar en esa misma fecha esta última declaración.</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eastAsia="es-ES"/>
              </w:rPr>
              <w:t>CFF 32-A, LISR 76, 76-A, 110, RMF 2018 2.8.4.1.</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b/>
                <w:bCs/>
                <w:color w:val="2F2F2F"/>
                <w:sz w:val="18"/>
                <w:szCs w:val="18"/>
                <w:lang w:eastAsia="es-ES"/>
              </w:rPr>
              <w:t>Ajustes de precios de transferencia</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3.9.1.1.</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Para los efectos de los artículos 76, primer párrafo, fracciones IX, X y XII, 76-A, fracción II y último párrafo, 90, penúltimo párrafo, 110, fracción XI, 153, primer párrafo, 179, primer y segundo párrafos; en su caso 180, segundo párrafo y 184 de la Ley del ISR, se considera ajuste de precios de transferencia, cualquier modificación a los precios, montos de contraprestaciones o márgenes de utilidad correspondientes a las operaciones celebradas por el contribuyente con sus partes relacionadas, que se realice para considerar que los ingresos acumulables o deducciones autorizadas derivados de dichas operaciones se determinaron considerando los precios o montos de contraprestaciones que hubieran utilizado con o entre partes independientes en operaciones comparables, incluso cuando no se efectúe una entrega de efectivo u otros recursos materiales entre las partes.</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Para efectos de esta regla, cuando los ajustes de precios de transferencia a que se refiere esta Sección, tengan efectos en el ámbito fiscal y contable, se les consideran como ajustes reales, cuando dichos ajustes tengan efectos solamente en el ámbito fiscal, se consideran como ajustes virtuales.</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Los ajustes de precios de transferencia reales o virtuales, pueden presentar las siguientes variantes:</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 xml:space="preserve">Voluntario o compensatorio: Es el ajuste que un contribuyente residente en México o residente en el extranjero con establecimiento permanente en el país realiza para que una operación con una parte relacionada se considere determinada </w:t>
            </w:r>
            <w:r w:rsidRPr="00C259DA">
              <w:rPr>
                <w:rFonts w:ascii="Arial" w:eastAsia="Times New Roman" w:hAnsi="Arial" w:cs="Arial"/>
                <w:color w:val="2F2F2F"/>
                <w:sz w:val="18"/>
                <w:szCs w:val="18"/>
                <w:lang w:eastAsia="es-ES"/>
              </w:rPr>
              <w:lastRenderedPageBreak/>
              <w:t>como lo haría con o entre partes independientes en operaciones comparables y que se efectúa antes de la presentación de la declaración anual, ya sea normal ocomplementaria.</w:t>
            </w:r>
          </w:p>
          <w:p w:rsidR="00C259DA" w:rsidRPr="00C259DA" w:rsidRDefault="00C259DA" w:rsidP="00C259DA">
            <w:pPr>
              <w:spacing w:after="64"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color w:val="2F2F2F"/>
                <w:sz w:val="18"/>
                <w:szCs w:val="18"/>
                <w:lang w:eastAsia="es-ES"/>
              </w:rPr>
              <w:t> </w:t>
            </w:r>
          </w:p>
          <w:p w:rsidR="00C259DA" w:rsidRPr="00C259DA" w:rsidRDefault="00C259DA" w:rsidP="00C259DA">
            <w:pPr>
              <w:spacing w:after="64"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Primario: Es el ajuste que resulta del ejercicio de facultades de comprobación a un contribuyente, en virtud del cual modifica para efectos fiscales el precio, monto de contraprestación o margen de utilidad para considerar que la operación celebrada con su parte relacionada nacional o extranjera, fue pactada como lo haría con o entre partes independientes en operaciones comparables.</w:t>
            </w:r>
          </w:p>
          <w:p w:rsidR="00C259DA" w:rsidRPr="00C259DA" w:rsidRDefault="00C259DA" w:rsidP="00C259DA">
            <w:pPr>
              <w:spacing w:after="64"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El ajuste primario puede generar, a su vez, un ajuste correlativo nacional o extranjero para la contraparte relacionada de la transacción.</w:t>
            </w:r>
          </w:p>
          <w:p w:rsidR="00C259DA" w:rsidRPr="00C259DA" w:rsidRDefault="00C259DA" w:rsidP="00C259DA">
            <w:pPr>
              <w:spacing w:after="64"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Correlativo nacional: Es el ajuste que puede aplicar un contribuyente residente en México como consecuencia de un ajuste primario del que haya sido objeto la parte relacionada residente en México con quien realizó la transacción en cuestión.</w:t>
            </w:r>
          </w:p>
          <w:p w:rsidR="00C259DA" w:rsidRPr="00C259DA" w:rsidRDefault="00C259DA" w:rsidP="00C259DA">
            <w:pPr>
              <w:spacing w:after="64"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IV.</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Correlativo extranjero: Es el ajuste que puede aplicar un contribuyente residente en México o residente en el extranjero con establecimiento permanente en el país como consecuencia de un ajuste primario del que haya sido objeto la parte relacionada residente en el extranjero, como consecuencia de aplicar lo dispuesto por el artículo 184 de la Ley del ISR.</w:t>
            </w:r>
          </w:p>
          <w:p w:rsidR="00C259DA" w:rsidRPr="00C259DA" w:rsidRDefault="00C259DA" w:rsidP="00C259DA">
            <w:pPr>
              <w:spacing w:after="64"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V.</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Secundario: Es el ajuste que resulta de la aplicación de una contribución, conforme a la legislación fiscal aplicable, después de haber determinado un ajuste de precios de transferencia a una operación, el cual se caracteriza generalmente como un dividendo presunto. Se consideran ajustes secundarios los que resulten de aplicar lo dispuesto por los artículos 11, fracción II, 140, fracciones III y VI y 164, fracción I de la Ley del ISR.</w:t>
            </w:r>
          </w:p>
          <w:p w:rsidR="00C259DA" w:rsidRPr="00C259DA" w:rsidRDefault="00C259DA" w:rsidP="00C259DA">
            <w:pPr>
              <w:spacing w:after="64"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Tratándose de contribuyentes que de conformidad con lo dispuesto en la Ley del ISR obtienen sus ingresos en el momento en que se cobra el precio o la contraprestación pactada, se considera que los ajustes realizados a las operaciones que llevan a cabo tendrán efecto fiscal cuando sean efectivamente cobrados o pagados, según corresponda.</w:t>
            </w:r>
          </w:p>
          <w:p w:rsidR="00C259DA" w:rsidRPr="00C259DA" w:rsidRDefault="00C259DA" w:rsidP="00C259DA">
            <w:pPr>
              <w:spacing w:after="64"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Los ajustes de precios de transferencia tendrán el mismo concepto o naturaleza de la operación objeto del ajuste.</w:t>
            </w:r>
          </w:p>
          <w:p w:rsidR="00C259DA" w:rsidRPr="00C259DA" w:rsidRDefault="00C259DA" w:rsidP="00C259DA">
            <w:pPr>
              <w:spacing w:after="64"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eastAsia="es-ES"/>
              </w:rPr>
              <w:t>LISR 11, 76, 76-A, 90, 110, 140, 153, 164, 179, 180, 184</w:t>
            </w:r>
          </w:p>
          <w:p w:rsidR="00C259DA" w:rsidRPr="00C259DA" w:rsidRDefault="00C259DA" w:rsidP="00C259DA">
            <w:pPr>
              <w:spacing w:after="64"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b/>
                <w:bCs/>
                <w:color w:val="2F2F2F"/>
                <w:sz w:val="18"/>
                <w:szCs w:val="18"/>
                <w:lang w:eastAsia="es-ES"/>
              </w:rPr>
              <w:t>Aumento o disminución de ingresos o deducciones derivados de ajustes de precios de transferencia</w:t>
            </w:r>
          </w:p>
          <w:p w:rsidR="00C259DA" w:rsidRPr="00C259DA" w:rsidRDefault="00C259DA" w:rsidP="00C259DA">
            <w:pPr>
              <w:spacing w:after="64"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3.9.1.2.</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Para los efectos de la regla 3.9.1.1., se estará a lo siguiente en el mes o período de que se trate.</w:t>
            </w:r>
          </w:p>
          <w:p w:rsidR="00C259DA" w:rsidRPr="00C259DA" w:rsidRDefault="00C259DA" w:rsidP="00C259DA">
            <w:pPr>
              <w:spacing w:after="64"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A.</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En el caso de ajustes de precios de transferencia voluntarios o compensatorios y correlativos nacionales y extranjeros, según corresponda, que aumenten el precio, el monto de la contraprestación o afecten el margen de utilidad de la operación celebrada entre partes relacionadas:</w:t>
            </w:r>
          </w:p>
          <w:p w:rsidR="00C259DA" w:rsidRPr="00C259DA" w:rsidRDefault="00C259DA" w:rsidP="00C259DA">
            <w:pPr>
              <w:spacing w:after="64"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Los contribuyentes residentes en México, así como los residentes en el extranjero con establecimiento permanente en México, que hayan obtenido ingresos acumulables con motivo de la celebración de la operación referida, deberán incrementar dichos ingresos en un monto equivalente al del ajuste de que se trate. Para efectos de los pagos provisionales, tratándose de ajustes de precios de transferencia voluntarios o compensatorios, el incremento se considerará ingreso nominal en el mes en el que se realice el ajuste conforme a lo dispuesto por el artículo 14, tercer párrafo de la Ley del ISR.</w:t>
            </w:r>
          </w:p>
          <w:p w:rsidR="00C259DA" w:rsidRPr="00C259DA" w:rsidRDefault="00C259DA" w:rsidP="00C259DA">
            <w:pPr>
              <w:spacing w:after="64"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Los contribuyentes residentes en México, así como los residentes en el extranjero con establecimiento permanente en México que hayan efectuado deducciones con motivo de la celebración de la operación referida, podrán incrementar dichas deducciones en un monto equivalente al del ajuste, siempre que cumplan con lo previsto en las reglas 3.9.1.3., 3.9.1.4. o 3.9.1.5., según corresponda.</w:t>
            </w:r>
          </w:p>
          <w:p w:rsidR="00C259DA" w:rsidRPr="00C259DA" w:rsidRDefault="00C259DA" w:rsidP="00C259DA">
            <w:pPr>
              <w:spacing w:after="64"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Tratándose de ajustes de precios de transferencia voluntarios o compensatorios y correlativos extranjeros, según corresponda, que deban considerarse para efectos de la retención efectuada a un residente en el extranjero sin establecimiento permanente en el país en los términos delartículo 153, primer, tercer y cuarto párrafos de la Ley del ISR, el retenedor deberá enterar una cantidad equivalente a la que debió haber retenido al considerar dicho ajuste, cumpliendo con lo previsto en la regla 3.9.1.3., fracción XI.</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color w:val="2F2F2F"/>
                <w:sz w:val="18"/>
                <w:szCs w:val="18"/>
                <w:lang w:eastAsia="es-ES"/>
              </w:rPr>
              <w:t> </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B.</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En el caso de ajustes de precios de transferencia voluntarios o compensatorios y correlativos nacionales y extranjeros, según corresponda que disminuyan el precio, monto de la contraprestación o afecten el margen de utilidad de la operación celebrada entre partes relacionadas:</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Los contribuyentes residentes en México, así como los residentes en el extranjero con establecimiento permanente en México que hayan obtenido ingresos acumulables con motivo de la celebración de la operación referida, podrán incrementar sus deducciones autorizadas en un monto equivalente al del ajuste, siempre que cumplan con lo previsto en las reglas 3.9.1.3., 3.9.1.4. o 3.9.1.5., según corresponda.</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Los contribuyentes residentes en México, así como los residentes en el extranjero con establecimiento permanente en México que hayan efectuado deducciones con motivo de la celebración de la operación referida, deberán disminuir dichas deducciones autorizadas en un monto equivalente al del ajuste.</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Tratándose de ajustes de precios de transferencia que deban considerarse para efectos de la retención efectuada a un residente en el extranjero sin establecimiento permanente en el país en los términos del artículo 153, primer, tercer y cuarto párrafos de la Ley del ISR, el retenedor:</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a)</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Podrá compensar al residente en el extranjero sin establecimiento permanente en el país, con una cantidad equivalente a la que le retuvo en exceso como consecuencia de dicho ajuste, dicha compensación se aplicará a los siguientes importes retenidos, cuando se deba efectuar el entero de las retenciones de la operación con partes relacionadas que fue objeto de ajuste. Lo anterior, siempre que se trate de un ajuste de precios de transferencia real, que disminuya los costos y/o gastos, así como las cuentas por pagar del contribuyente con su parte relacionada y se cuente con los registros contables necesarios que permitan identificar plenamente las compensaciones efectuadas, desde su origen y en su aplicación.</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lastRenderedPageBreak/>
              <w:t>b)</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Si aplicó tasas de retención inferiores a las señaladas en la Ley del ISR, como consecuencia de la aplicación de tratados para evitar la doble tributación, someterá el monto del ajuste a imposición, de acuerdo con la Ley del ISR. Lo anterior, siempre que el ajuste de precios detransferencia sea virtual.</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Cuando se realicen los ajustes de ingresos o deducciones derivados de ajustes de precios de transferencia a que se refiere el presente apartado, se deberán realizar también los ajustes del IVA y del IEPS, respecto del valor de los actos o actividades, por lo que hace a la fracción I y del acreditamiento, por lo que hace a la fracción II, que conforme a la Ley del IVA y a la Ley del IEPS correspondan, disminuyendo en este último caso, en el mes de que se trate, el impuesto acreditable que originalmente hayan considerado que cumplió en su momento con los requisitos de acreditamiento establecidos en la Ley de que se trate, correspondiente a las operaciones con partes relacionadas que dieron origen al ajuste. Dicha disminución será por una cantidad equivalente a la que resulte demultiplicar el valor del impuesto acreditable originalmente considerado para la operación de que se trate por el factor que resulte de dividir el monto del ajuste entre el importe de la operación no ajustada.</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En los casos contemplados en esta regla las autoridades fiscales podrán ejercer las facultades de comprobación previstas en el CFF, respecto del ajuste de precios de transferencia efectuado.</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eastAsia="es-ES"/>
              </w:rPr>
              <w:t>LISR 11, 14, 76, 140, 153, 164, 174, 179, 180, 184, LIVA 4, 5, 5-A, 5-B, 5-C, 24, 26, 27, 28, 28-A, LIEPS 4, 15, 15-A, 16, RLIVA 50, RMF 2018 3.9.1.1., 3.9.1.3., 3.9.1.4., 3.9.1.5.</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18"/>
                <w:szCs w:val="18"/>
                <w:lang w:eastAsia="es-ES"/>
              </w:rPr>
              <w:t> </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b/>
                <w:bCs/>
                <w:color w:val="2F2F2F"/>
                <w:sz w:val="18"/>
                <w:szCs w:val="18"/>
                <w:lang w:eastAsia="es-ES"/>
              </w:rPr>
              <w:t>Deducción de ajustes de precios de transferencia en el ejercicio fiscal en que fueron reconocidos los ingresos o deducciones derivados de las operaciones con partes relacionadas que los originaron</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3.9.1.3.</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Para los efectos de los artículos 25, 26 y 27, fracciones I, III, IV, V, XIV, XVIII y XXII, 36, fracción VII, 76, primer párrafo, fracciones IX y XII, 90, penúltimo párrafo, 110, fracción XI y 179, primer párrafo de la Ley del ISR, los contribuyentes que realicen un ajuste de precios de transferencia voluntario o compensatorio, que incremente sus deducciones, de conformidad con lo previsto en la regla 3.9.1.2., para considerar que se cumple con lasdisposiciones antes citadas y poder deducirlo, además de cumplir con los demás requisitos que establezcan las disposiciones fiscales deberán:</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Haber presentado en forma la información, las declaraciones normales o, en su caso, presentar las complementarias que le sean aplicables a que hacen referencia los artículos 25, fracción I de la LIF; 32-H del CFF; así como 76, fracciones V y X, 76-A y 110, fracciones VI y X de la Ley del ISR, contemplando o manifestando expresamente el ajuste de precios de transferencia.</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Obtener y conservar toda la documentación e información mediante la cual se identificó que la(s) operación(es) ajustada(s) originalmente, no consideró (consideraron) los precios, montos de contraprestaciones o márgenes de utilidad, que hubieran utilizado con o entre partes independientes en operaciones comparables, de acuerdo con lo dispuesto en los artículos 76, primer párrafo,fracciones IX y XII, 90, penúltimo párrafo, 110, fracción XI, 179, primer párrafo y, en su caso 180, segundo párrafo de la Ley del ISR.</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Obtener y conservar un escrito firmado por quien elaboró la documentación e información a que hacen referencia las fracciones II y V de la presente regla en el que se indique la razón por la cual los precios, montos de contraprestaciones, o márgenes de utilidad pactados originalmente, no correspondieron con los que hubieran determinado partes independientes en operaciones comparables.</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IV.</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Obtener y conservar un escrito firmado por quien elaboró la documentación e información a que hacen referencia las fracciones II y V de la presente regla en el que se explique la consistencia o inconsistencia en la aplicación de las metodologías de precios de transferencia por el contribuyente y en la búsqueda de operaciones o empresas comparables, al menos en relación con el ejercicio fiscalinmediato anterior, con respecto a la operación que fue ajustada de manera voluntaria o compensatoria.</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V.</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Obtener y conservar toda la documentación e información con la cual sea posible corroborar que mediante el ajuste de precios de transferencia, la(s) operación(es) en cuestión consideró (consideraron) los precios, montos de contraprestaciones o márgenes de utilidad que hubieran utilizado con o entre partes independientes en operaciones comparables, de acuerdo con lo dispuesto en los artículos 76, primer párrafo, fracciones IX y XII, 90, penúltimo párrafo, 110, fracción XI, y 179, primerpárrafo así como, en su caso 180, segundo párrafo de la Ley del ISR. Esta documentación e información debe incluir el cálculo aritmético del ajuste de precios de transferencia voluntario o compensatorio.</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VI.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Contar con el CFDI o comprobante fiscal que cumpla con los requisitos establecidos en los artículos 29 y 29-A del CFF, o bien, en la regla 2.7.1.16., según se trate de operaciones con partes relacionadas con un residente en territorio nacional o en el extranjero sin establecimiento permanente en México, así como en las demás disposiciones aplicables, correspondiente a la operación original que fue ajustada.</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VII.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Tratándose de deducciones asociadas a la adquisición de mercancías de importación, contar con la documentación que ampare en su caso, el pago del IVA y del IEPS que corresponda.</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VIII.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Tratándose de ajustes reales, el contribuyente deberá contar o emitir, según corresponda, con un CFDI o comprobante fiscal que ampare dicho ajuste, el cual deberá cumplir los requisitos establecidos en los artículos 29 y 29-A del CFF o bien, en la regla 2.7.1.16., según se trate, de operaciones con partes relacionadas</w:t>
            </w:r>
          </w:p>
          <w:p w:rsidR="00C259DA" w:rsidRPr="00C259DA" w:rsidRDefault="00C259DA" w:rsidP="00C259DA">
            <w:pPr>
              <w:spacing w:after="101" w:line="240" w:lineRule="auto"/>
              <w:jc w:val="both"/>
              <w:rPr>
                <w:rFonts w:ascii="Arial" w:eastAsia="Times New Roman" w:hAnsi="Arial" w:cs="Arial"/>
                <w:color w:val="2F2F2F"/>
                <w:sz w:val="18"/>
                <w:szCs w:val="18"/>
                <w:lang w:eastAsia="es-ES"/>
              </w:rPr>
            </w:pPr>
            <w:r w:rsidRPr="00C259DA">
              <w:rPr>
                <w:rFonts w:ascii="Arial" w:eastAsia="Times New Roman" w:hAnsi="Arial" w:cs="Arial"/>
                <w:color w:val="2F2F2F"/>
                <w:sz w:val="18"/>
                <w:szCs w:val="18"/>
                <w:lang w:eastAsia="es-ES"/>
              </w:rPr>
              <w:t>con un residente en territorio nacional o en el extranjero sin establecimiento permanente en México así como en las demás disposiciones aplicables y, deberá correlacionarlo en la contabilidad con los que inicialmente se hayan expedido para la operación ajustada.</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 xml:space="preserve">El CFDI o comprobante fiscal que ampare el ajuste de precios de transferencia realizado de manera voluntaria o compensatoria podrá expedirse en el ejercicio fiscal en que se presentó o se debió haber presentado la declaración a que hace referencia el artículo 76, fracción V de la Ley del ISR, con los datos de la operación que fue ajustada como ingreso </w:t>
            </w:r>
            <w:r w:rsidRPr="00C259DA">
              <w:rPr>
                <w:rFonts w:ascii="Arial" w:eastAsia="Times New Roman" w:hAnsi="Arial" w:cs="Arial"/>
                <w:color w:val="2F2F2F"/>
                <w:sz w:val="18"/>
                <w:szCs w:val="18"/>
                <w:lang w:eastAsia="es-ES"/>
              </w:rPr>
              <w:lastRenderedPageBreak/>
              <w:t>acumulable o deducción autorizada, de maneravoluntaria o compensatoria dentro del elemento "Concepto", atributo "Descripción".</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En todo caso el CFDI o comprobante fiscal deberá incluir al menos la siguiente información:</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1.</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La descripción de la operación ajustada de manera voluntaria o compensatoria.</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2.</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El monto de la operación original, mismo que podrá corresponder al que se manifiesta en la información que se presenta para dar cumplimiento a lo dispuesto por los artículos 25, fracción I de la LIF, 32-H del CFF y 76, fracción X de la Ley del ISR.</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3.</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En su caso, la utilidad bruta u operativa original objeto de ajuste realizado de manera voluntaria o compensatoria.</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4.</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El ejercicio fiscal en que se declaró como ingreso acumulable o deducción autorizada.</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5.</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La descripción del ajuste de precios de transferencia realizado de manera voluntaria o compensatoria.</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IX.</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Registrar en términos de los artículos 28 del CFF, 27, fracción IV de la Ley del ISR, así como 44 de su Reglamento, los ajustes de precios de transferencia realizados de manera voluntaria o compensatoria en la contabilidad en cuentas de orden y reconocerlos en la conciliación entre el resultado contable y el fiscal para efectos del ISR, cuando solamente sean virtuales.</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X.</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Acreditar que la parte relacionada con la que se celebró la operación ajustada de manera voluntaria o compensatoria, acumuló el ingreso correspondiente a dicho ajuste o disminuyó la deducción, según corresponda, en el mismo ejercicio fiscal en el que éste se dedujo y por el mismo monto ajustado, así como que no representan ingresos sujetos a un régimen fiscal preferente.</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El requisito antes señalado se podrá cumplir con la obtención de una manifestación bajo protesta de decir verdad, en su caso, debidamente traducida al español, en la cual el representante legal o su equivalente debidamente acreditado de la parte relacionada con la que se celebró la operación ajustada, confirme que dicha parte relacionada lo acumuló o disminuyó, según corresponda, indique el monto ajustado, el ejercicio fiscal en el que lo realizó y señale de forma expresa que los ajustes efectuados no representaron ingresos sujetos a un régimen fiscal preferente, esto último como se define en términos de la Ley del ISR.</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XI.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Cumplir con la obligación de retener y enterar el ISR a cargo de terceros, en términos del artículo 27, fracción V de la Ley del ISR, que derive del ajuste de precios de transferencia realizado de manera voluntaria o compensatoria, sin perjuicio de lo dispuesto por los tratados internacionales de los que México es parte. Tratándose de las retenciones en términos del artículo 153, primer y cuarto párrafos de la Ley del ISR, cuando el contribuyente como retenedor y responsable solidario no esté en posibilidad de identificar la fecha de la exigibilidad que corresponda al pago, deberá considerar que dicha fecha fue a más tardar el último día del ejercicio fiscal al que corresponda la operación ajustada.</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Los contribuyentes podrán efectuar la deducción de los ajustes de precios de transferencia voluntarios o compensatorios en los términos de esta regla sólo en el ejercicio fiscal en que fueron reconocidos los ingresos o deducciones derivados de las operaciones con partes relacionadas que los originaron.</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18"/>
                <w:szCs w:val="18"/>
                <w:lang w:eastAsia="es-ES"/>
              </w:rPr>
              <w:t> </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Los ajustes de precios de transferencia voluntarios o compensatorios deberán reflejarse en las declaraciones o en el dictamen, según corresponda, a más tardar:</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a)</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Cuando venza el plazo previsto en el artículo 76, fracción V de la Ley del ISR para presentar la declaración del ejercicio, tratándose de contribuyentes que no hayan ejercido la opción a que se refiere el artículo 32-A del CFF.</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b)</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En las fechas establecidas en las reglas 3.9.3. y 3.9.18., respectivamente para presentar el dictamen de estados financieros, tratándose de contribuyentes que hayan ejercido la opción a que se refiere el artículo 32-A del CFF, y la información a que se refieren los artículos 76, fracción X y 110, fracción X de la Ley del ISR, siempre que en este último caso, dicha información sea coincidente con la presentada para dar cumplimiento al artículo 32-H del CFF, ya que en caso contrario no será aplicable lo establecido en esta regla.</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Las autoridades fiscales podrán ejercer las facultades de comprobación previstas en el CFF, respecto de la información descrita anteriormente.</w:t>
            </w:r>
          </w:p>
          <w:p w:rsidR="00C259DA" w:rsidRPr="00C259DA" w:rsidRDefault="00C259DA" w:rsidP="00C259DA">
            <w:pPr>
              <w:spacing w:after="101" w:line="240" w:lineRule="auto"/>
              <w:ind w:hanging="1152"/>
              <w:jc w:val="both"/>
              <w:rPr>
                <w:rFonts w:ascii="Arial" w:eastAsia="Times New Roman" w:hAnsi="Arial" w:cs="Arial"/>
                <w:color w:val="2F2F2F"/>
                <w:sz w:val="18"/>
                <w:szCs w:val="18"/>
                <w:lang w:val="en-US"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val="en-US" w:eastAsia="es-ES"/>
              </w:rPr>
              <w:t>CFF 28, 29, 29-A, 32, 32-A, 32-H, LISR 25, 26, 27, 36, 76, 76-A, 90, 110, 153, 176, 179, 180, 184, LIF </w:t>
            </w:r>
            <w:r w:rsidRPr="00C259DA">
              <w:rPr>
                <w:rFonts w:ascii="Arial" w:eastAsia="Times New Roman" w:hAnsi="Arial" w:cs="Arial"/>
                <w:color w:val="2F2F2F"/>
                <w:sz w:val="18"/>
                <w:szCs w:val="18"/>
                <w:lang w:val="en-US" w:eastAsia="es-ES"/>
              </w:rPr>
              <w:t>25, </w:t>
            </w:r>
            <w:r w:rsidRPr="00C259DA">
              <w:rPr>
                <w:rFonts w:ascii="Arial" w:eastAsia="Times New Roman" w:hAnsi="Arial" w:cs="Arial"/>
                <w:i/>
                <w:iCs/>
                <w:color w:val="2F2F2F"/>
                <w:sz w:val="18"/>
                <w:szCs w:val="18"/>
                <w:lang w:val="en-US" w:eastAsia="es-ES"/>
              </w:rPr>
              <w:t>RLISR 44, RMF 2018 2.7.1.16., 3.9.3., 3.9.18., 3.9.1.1., 3.9.1.2., 3.9.1.4.</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val="en-US" w:eastAsia="es-ES"/>
              </w:rPr>
              <w:t>                   </w:t>
            </w:r>
            <w:r w:rsidRPr="00C259DA">
              <w:rPr>
                <w:rFonts w:ascii="Arial" w:eastAsia="Times New Roman" w:hAnsi="Arial" w:cs="Arial"/>
                <w:b/>
                <w:bCs/>
                <w:color w:val="2F2F2F"/>
                <w:sz w:val="18"/>
                <w:szCs w:val="18"/>
                <w:lang w:eastAsia="es-ES"/>
              </w:rPr>
              <w:t>Deducción de ajustes de precios de transferencia previo aviso ante el SAT</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3.9.1.4.</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Los contribuyentes que realicen un ajuste de precios de transferencia voluntario o compensatorio con posterioridad a los plazos establecidos en la regla 3.9.1.3., tercer párrafo podrán deducirlo en el ejercicio fiscal en que fueron reconocidos los ingresos o deducciones derivados de las operaciones con partes relacionadas que los originaron, siempre que previamente presenten aviso cumpliendo con los requisitos establecidos en la ficha de trámite 130/ISR "Aviso previo de ajustes de precios de transferencia realizado en términos de la regla 3.9.1.4., primer párrafo", contenida en el Anexo 1-A.</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Asimismo, los contribuyentes que pretendan realizar un ajuste de precios de transferencia correlativo nacional, como consecuencia de un ajuste primario a su contraparte a que se refiere la regla 3.9.1.1., podrán deducirlo siempre que derive de una corrección fiscal de su contraparte y que previamente presenten aviso cumpliendo con los requisitos establecidos en la ficha de trámite 134/ISR "Aviso previo de ajustes de precios de transferencia realizado en términos de la regla 3.9.1.4., segundo párrafo", contenida en el Anexo 1-A.</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Respecto de la información presentada en los avisos antes citados, la autoridad fiscal podrá ejercer las facultades de comprobación previstas en el CFF.</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lastRenderedPageBreak/>
              <w:t>                   </w:t>
            </w:r>
            <w:r w:rsidRPr="00C259DA">
              <w:rPr>
                <w:rFonts w:ascii="Arial" w:eastAsia="Times New Roman" w:hAnsi="Arial" w:cs="Arial"/>
                <w:i/>
                <w:iCs/>
                <w:color w:val="2F2F2F"/>
                <w:sz w:val="18"/>
                <w:szCs w:val="18"/>
                <w:lang w:eastAsia="es-ES"/>
              </w:rPr>
              <w:t>LISR 184, RMF 2018 3.9.1.1., 3.9.1.2.,3.9.1.3.</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b/>
                <w:bCs/>
                <w:color w:val="2F2F2F"/>
                <w:sz w:val="18"/>
                <w:szCs w:val="18"/>
                <w:lang w:eastAsia="es-ES"/>
              </w:rPr>
              <w:t>Deducción de ajustes de precios de transferencia que resulten de una resolución emitida en términos del artículo 34-A del CFF</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3.9.1.5.</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Los contribuyentes podrán solicitar a la(s) autoridad(es) competente(s) que la deducción del ajuste de precios de transferencia que resulte de aplicar el artículo 34-A del CFF, en términos de la regla 2.12.8. y la ficha de trámite 102/CFF "Consultas en materia de precios de transferencia", contenida en el Anexo 1-A y, en su caso, el ajuste correlativo extranjero previsto por el artículo 184 de la Ley del ISR, sea en ejercicios fiscales distintos alestablecido en la regla 3.9.1.3. y, en su caso, la forma específica para dar cumplimiento a los requisitos establecidos en dicha regla. Los citados ejercicios en ningún caso excederán de la vigencia de la resolución establecida en el penúltimo párrafo del citado artículo 34-A del CFF.</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Las declaraciones complementarias que presenten los contribuyentes que se ubiquen en alguno de los supuestos establecidos en el párrafo anterior, no se considerarán dentro de los límites establecidos en el artículo 32 del CFF.</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eastAsia="es-ES"/>
              </w:rPr>
              <w:t>CFF 32, 34-A, LISR 184, RMF 2018 2.12.8., 3.9.1.1., 3.9.1.2., 3.9.1.3., 3.9.1.4.</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18"/>
                <w:szCs w:val="18"/>
                <w:lang w:eastAsia="es-ES"/>
              </w:rPr>
              <w:t> </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b/>
                <w:bCs/>
                <w:color w:val="2F2F2F"/>
                <w:sz w:val="18"/>
                <w:szCs w:val="18"/>
                <w:lang w:eastAsia="es-ES"/>
              </w:rPr>
              <w:t>Información relativa a la transparencia y al uso y destino de los donativos recibidos y actividades destinadas a influir en la legislación</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3.10.11.</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Para los efectos del artículo 82, fracción VI de la Ley del ISR y 31, Apartado B, fracciones I, II, III, IV, IX, XIII, XIV y XV y Apartado C de la LIF, las donatarias autorizadas para recibir donativos deducibles en los términos de la Ley del ISR, las personas morales con fines no lucrativos o los fideicomisos a los que se les haya revocado o no se les haya renovado la autorización por dicho incumplimiento, o bien cuando su vigencia haya concluido y no se haya obtenido nuevamente o renovado su autorización dentro del plazo establecido en el artículo 82, fracción V, segundo párrafo de la citada Ley, así como aquellas que presenten aviso de liquidación o cambio de residencia conforme a la regla 3.10.22., se encuentran obligadas a poner a disposición del público en general la información relativa a la transparencia y al uso y destino de los donativos recibidos, a través del programaelectrónico que para tal efecto esté a su disposición en el Portal del SAT, de conformidad con lo señalado en la ficha de trámite 19/ISR "Informe para garantizar la transparencia, así como el uso y destino de los donativos recibidos y actividades destinadas a influir en la legislación", contenida en el Anexo 1-A.</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Las donatarias autorizadas que recibieron donativos con el objeto de atender las contingencias ocasionadas con motivo de los sismos ocurridos en México en el mes de septiembre de 2017, deberán presentar los informes en los términos y con la información contemplada en la ficha de trámite</w:t>
            </w:r>
            <w:r w:rsidRPr="00C259DA">
              <w:rPr>
                <w:rFonts w:ascii="Arial" w:eastAsia="Times New Roman" w:hAnsi="Arial" w:cs="Arial"/>
                <w:b/>
                <w:bCs/>
                <w:color w:val="2F2F2F"/>
                <w:sz w:val="18"/>
                <w:szCs w:val="18"/>
                <w:lang w:eastAsia="es-ES"/>
              </w:rPr>
              <w:t> </w:t>
            </w:r>
            <w:r w:rsidRPr="00C259DA">
              <w:rPr>
                <w:rFonts w:ascii="Arial" w:eastAsia="Times New Roman" w:hAnsi="Arial" w:cs="Arial"/>
                <w:color w:val="2F2F2F"/>
                <w:sz w:val="18"/>
                <w:szCs w:val="18"/>
                <w:lang w:eastAsia="es-ES"/>
              </w:rPr>
              <w:t>128/ISR "Informes de transparencia relacionados con donativos recibidos por los sismos ocurridos en México durante el mes de septiembre de2017", contenida en el Anexo 1-A.</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En caso de que las donatarias autorizadas que recibieron donativos con el objeto de atender las contingencias ocasionadas con motivo de los sismos ocurridos en México durante el mes de septiembre de 2017 no presenten los informes descritos en el párrafo anterior, perderán la vigencia de su autorización en los mismos términos de lo previsto en la regla 3.10.2., fracción II, de la RMF para 2017.</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Las personas morales y fideicomisos autorizados para recibir donativos deducibles que no hayan recibido donativos con motivo de dicho acontecimiento, presentarán los informes de transparencia a que se refiere el segundo párrafo de la presente regla, manifestando la leyenda "Se declara, bajo protesta de decir verdad, que no se recibieron donativos con motivo de los sismos ocurridos en México durante el mes de septiembre de 2017", en los plazos mencionados en la citada ficha de trámite 128/ISR "Informes de transparencia relacionados con donativos recibidos por los sismos ocurridos en México durante el mes de septiembre de 2017", contenida en el Anexo 1-A.</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eastAsia="es-ES"/>
              </w:rPr>
              <w:t>LISR 82, RLISR 36, LIF 31, RMF 2017 3.10.2., 3.10.3., 3.10.22.</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b/>
                <w:bCs/>
                <w:color w:val="2F2F2F"/>
                <w:sz w:val="18"/>
                <w:szCs w:val="18"/>
                <w:lang w:eastAsia="es-ES"/>
              </w:rPr>
              <w:t>Solicitud de nueva autorización para recibir donativos deducibles, en caso de revocación</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3.10.13.</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Cuando la autorización para recibir donativos deducibles haya sido revocada o haya perdido su vigencia, la organización civil o fideicomiso podrá presentar solicitud de nueva autorización en los términos señalados en la ficha de trámite 17/ISR "Solicitud de nueva autorización para recibir donativos deducibles", contenida en el Anexo 1-A.</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El SAT, podrá emitir nueva autorización para recibir donativos, siempre que la organización civil o fideicomiso acredite cumplir nuevamente con los supuestos y requisitos establecidos para tal efecto.</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eastAsia="es-ES"/>
              </w:rPr>
              <w:t>LISR 82, RMF 2018 3.10.2., 3.10.11.</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b/>
                <w:bCs/>
                <w:color w:val="2F2F2F"/>
                <w:sz w:val="18"/>
                <w:szCs w:val="18"/>
                <w:lang w:eastAsia="es-ES"/>
              </w:rPr>
              <w:t>Donatarias que entregan apoyos económicos a personas físicas que tienen su casa habitación en las zonas afectadas por los sismos ocurridos en México los días 7 y 19 de septiembre de 2017</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3.10.28.</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Para efectos de lo dispuesto en los artículos 82, fracción I y penúltimo párrafo de la Ley del ISR, 138 de su Reglamento y de la regla 3.10.6., fracciones I y II, en relación con el artículo 25, fracción V de la LIF para 2018, no se considera que las organizaciones civiles y fideicomisos autorizados para recibir donativos deducibles en términos de la Ley del ISR, incumplen con el objeto social o fin autorizado cuando otorguen apoyos económicos o monetarios a las personas físicas que tengan su casa habitación en las zonas afectadas por los sismos ocurridos en México los días 7 y 19 de septiembre de 2017.</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18"/>
                <w:szCs w:val="18"/>
                <w:lang w:eastAsia="es-ES"/>
              </w:rPr>
              <w:t> </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Lo anterior, siempre y cuando las mencionadas personas morales y fideicomisos autorizados, se aseguren de que el apoyo económico referido se destinó a la reconstrucción o reparación de la casa habitación del beneficiario dentro de los seis meses siguientes a la entrega del apoyo y presenten los informes de transparencia relacionados con donativos recibidos por los sismos ocurridos en México durante el mes de septiembre de 2017, a que se refiere la regla 3.10.11.</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 xml:space="preserve">Las operaciones descritas en la presente regla no actualizan el supuesto jurídico contemplado en el artículo 79, penúltimo </w:t>
            </w:r>
            <w:r w:rsidRPr="00C259DA">
              <w:rPr>
                <w:rFonts w:ascii="Arial" w:eastAsia="Times New Roman" w:hAnsi="Arial" w:cs="Arial"/>
                <w:color w:val="2F2F2F"/>
                <w:sz w:val="18"/>
                <w:szCs w:val="18"/>
                <w:lang w:eastAsia="es-ES"/>
              </w:rPr>
              <w:lastRenderedPageBreak/>
              <w:t>párrafo de la Ley del ISR.</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eastAsia="es-ES"/>
              </w:rPr>
              <w:t>LISR 79, 82, RLISR 138, LIF 25, RMF 2018 3.10.6., 3.10.11.</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b/>
                <w:bCs/>
                <w:color w:val="2F2F2F"/>
                <w:sz w:val="18"/>
                <w:szCs w:val="18"/>
                <w:lang w:eastAsia="es-ES"/>
              </w:rPr>
              <w:t>Procedimiento para que los fondos de inversión retengan a sus inversionistas el ISR por la distribución del resultado fiscal de fideicomisos dedicados a la adquisición o construcción de inmuebles</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3.10.29.</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Para los efectos del artículo 87, noveno párrafo de la Ley del ISR y la regla 3.21.3.10., los fondos de inversión de renta variable que perciban ingresos provenientes de la distribución del resultado fiscal de los fideicomisos a que se refiere el artículo 187 de la Ley del ISR, al cierre de sus operaciones diarias determinarán el ingreso gravable correspondiente a los accionistas o integrantes de los citados fondos de inversión, de conformidad con lo siguiente:</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Identificarán al final de cada día el importe del resultado fiscal por certificado recibido de los fideicomisos referidos en el primer párrafo de la presente regla.</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Determinarán el ISR causado por la distribución, multiplicando el referido resultado fiscal por la tasa establecida en el artículo 9 de la Ley del ISR.</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Calcularán el monto del ISR causado por acción, dividiendo el monto obtenido conforme a la fracción II, entre el número de acciones en circulación del fondo de inversión.</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IV.</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Obtendrán el ISR correspondiente al integrante o accionista del fondo de inversión, multiplicando el valor obtenido conforme a la fracción III por el número de acciones que sean propiedad del integrante o accionista.</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El fondo de inversión de renta variable deberá retener y enterar el impuesto causado por sus accionistas o integrantes que provenga de los ingresos derivado de la distribución a que se refiere el primer párrafo de esta regla, a más tardar el día 17 del mes siguiente al mes en que se obtengan los ingresos referidos.</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eastAsia="es-ES"/>
              </w:rPr>
              <w:t>LISR 87, 187, RMF 2018 3.2.19., 3.21.3.10.</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b/>
                <w:bCs/>
                <w:color w:val="2F2F2F"/>
                <w:sz w:val="18"/>
                <w:szCs w:val="18"/>
                <w:lang w:eastAsia="es-ES"/>
              </w:rPr>
              <w:t>Procedimiento para que los fondos de inversión calculen el ISR por la inversión en operaciones financieras derivadas</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3.10.30.</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Para los efectos de los artículos 87, sexto y penúltimo párrafos y 88, penúltimo párrafo de la Ley del ISR, los fondos de inversión que celebren operaciones financieras derivadas a las que se refieren los artículos 16-A del CFF y 20 de la citada Ley y que no sean de las previstas en la regla 3.2.19., podrán determinar el impuesto diario correspondiente a cada integrante del fondo correspondiente a operaciones financieras derivadas, de conformidad con lo siguiente:</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Diariamente identificarán y adicionarán los ingresos devengados por concepto de plusvalías y ganancias en las operaciones financieras derivadas referidas en el primer párrafo de la presente regla.</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Diariamente identificarán y adicionarán los gastos devengados por concepto de minusvalías y pérdidas en las operaciones financieras derivadas ya referidas.</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Determinarán el importe diario neto disminuyendo a los ingresos a que se refiere la fracción I, los gastos determinados conforme a la fracción II.</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IV.</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Calcularán el porcentaje de participación accionaria del contribuyente, dividiendo el número de acciones propiedad del contribuyente, entre el número total de acciones de la serie.</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color w:val="2F2F2F"/>
                <w:sz w:val="18"/>
                <w:szCs w:val="18"/>
                <w:lang w:eastAsia="es-ES"/>
              </w:rPr>
              <w:t> </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V.</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Determinarán el ingreso atribuible por contribuyente multiplicando el importe diario neto en operaciones financieras derivadas, determinado conforme a la fracción III, por el porcentaje de participación accionaria, determinado conforme a la fracción IV.</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VI.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Multiplicarán el ingreso atribuible determinado conforme a la fracción anterior por la tasa del impuesto a que se refiere el artículo 146, segundo párrafo de la Ley del ISR.</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Los fondos de inversión a que se refiere esta regla, a través de sus operadores, administradores o distribuidores, según se trate, a más tardar el 15 de febrero de cada año, deberán proporcionar a los integrantes o accionistas personas físicas constancia anual en CFDI, señalando el monto total de la plusvalía y ganancia realizada, así como de la minusvalía y pérdida realizada por el fondo de inversión. Los integrantes o accionistas personas físicas acumularán en su declaración anual el interés devengado a su favor por dichos fondos.</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eastAsia="es-ES"/>
              </w:rPr>
              <w:t>CFF 16-A, LISR 20, 21, 54, 87, 88, RMF 2018 3.2.19.</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b/>
                <w:bCs/>
                <w:color w:val="2F2F2F"/>
                <w:sz w:val="18"/>
                <w:szCs w:val="18"/>
                <w:lang w:eastAsia="es-ES"/>
              </w:rPr>
              <w:t>Procedimiento para determinar los años de cotización de los trabajadores afiliados al IMSS en el retiro de los recursos de la cuenta individual</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3.11.3.</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Para determinar los años de cotización a que se refiere el artículo 93, fracción XIII de la Ley del ISR, las administradoras de fondos para el retiro o PENSIONISSSTE, que entreguen al trabajador o a su(s) beneficiario(s) en una sola exhibición, recursos con cargo a la subcuenta del seguro de retiro (SAR92) de acuerdo a la Ley del Seguro Social, deberán utilizar la resolución o la negativa de pensión, emitidas por el IMSS, o bien, la constancia que acredite que el trabajador cuenta con una pensión o jubilación derivada de un plan privado de jubilación o del régimen de jubilaciones y pensiones de los trabajadores del IMSS. Cuando el trabajador adquiera el derecho a disfrutar de una pensión en los términos de la Ley del Seguro Social de 1973, se deberá utilizar la constancia emitida por el empleador con la que se acredite el derecho, de conformidad con las disposiciones de carácter general que emita la CONSAR. En cualquier caso, el documento deberá indicar elnúmero de años o semanas de cotización del trabajador.</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 xml:space="preserve">En caso de que el documento emitido por el IMSS no indique el número de años de cotización del trabajador, las administradoras de fondos para el retiro o PENSIONISSSTE podrán utilizar la información que el IMSS proporcione a través </w:t>
            </w:r>
            <w:r w:rsidRPr="00C259DA">
              <w:rPr>
                <w:rFonts w:ascii="Arial" w:eastAsia="Times New Roman" w:hAnsi="Arial" w:cs="Arial"/>
                <w:color w:val="2F2F2F"/>
                <w:sz w:val="18"/>
                <w:szCs w:val="18"/>
                <w:lang w:eastAsia="es-ES"/>
              </w:rPr>
              <w:lastRenderedPageBreak/>
              <w:t>de los mecanismos de intercambio de información que prevea la CONSAR para la disposición y transferencia de recursos.</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Cuando la cotización se emita en número de semanas se dividirá entre 52. En ningún caso el número de semanas de cotización que se consideren en el cálculo podrá exceder de 260 semanas. Para los efectos de este párrafo, toda fracción igual o mayor a 0.5 se considerará como un año completo.</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Para determinar el monto de los ingresos gravados, las administradoras de fondos para el retiro o PENSIONISSSTE disminuirán del total retirado de la subcuenta referida, la cantidad exenta determinada a partir de la información proporcionada por el trabajador o su(s) beneficiario(s), de acuerdo a lo establecido en los párrafos anteriores. El monto así obtenido se sujetará a lo dispuesto en el Capítulo IX del Título IV de la Ley del ISR. El trabajador o su(s) beneficiario(s), podrán optar porque las administradoras de fondos para el retiro oPENSIONISSSTE efectúen la retención del ISR en los términos de la regla 3.11.2., y tratándose de trabajadores que cuenten con una pensión derivada de un plan privado de pensión no autorizado ni registrado por la CONSAR, deberán cumplir con los requisitos que para tales efectos establezca dicha Comisión mediante disposiciones de carácter general.</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Cuando la administradora de fondos para el retiro o PENSIONISSSTE entreguen los recursos SAR92 por el sólo hecho de que el titular haya cumplido los 65 años de edad, conforme a lo señalado en la Ley del Seguro Social vigente al momento de cotización de tales recursos, la administradora o PENSIONISSSTE obtendrá los años de cotización de la subcuenta con la información que al efecto proporcione el titular de la cuenta en los términos que señalen las disposiciones administrativas que emita la CONSAR, pudiendo el titular de la cuenta o su(s) beneficiario(s) optar porque las administradoras de fondos para el retiro o PENSIONISSSTE efectúen la retención del ISR en los términos de la regla 3.11.2., y acreditar el impuesto que le haya sido retenido por este concepto.</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18"/>
                <w:szCs w:val="18"/>
                <w:lang w:eastAsia="es-ES"/>
              </w:rPr>
              <w:t> </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Tratándose del pago en una sola exhibición de la subcuenta de retiro, cesantía en edad avanzada y vejez "RCV"prevista en la Ley del Seguro Social, cuando se obtenga la negativa de pensión por parte del IMSS o se acredite que el trabajador cuenta con una pensión o jubilación derivada de un plan privado de jubilación autorizado y registrado por la CONSAR o del régimen de jubilaciones y pensiones de los trabajadores del IMSS, se estará a lo dispuesto en esta regla, salvo por lo señalado a continuación:</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a)</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Cuando la jubilación o pensión del plan privado se pague en una sola exhibición, los fondos de la subcuenta de retiro, cesantía en edad avanzada y vejez "RCV" se le sumarán a dicho pago y se aplicará al total obtenido la exención indicada en los artículos 147, 171 y 173 del Reglamento de la Ley del ISR.</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b)</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El máximo de semanas referido en el segundo párrafo de esta regla se podrá aumentar en 52 semanas por año transcurrido a partir de 2003 y hasta el momento en el que se efectúe el retiro. Para los efectos de este inciso, cuando el número de semanas sea igual o mayor a 26 se considerará como un año completo.</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Cuando se pague en una sola exhibición el importe correspondiente al ramo de retiro de la subcuenta de retiro, cesantía en edad avanzada y vejez "RCV" a que se refiere el párrafo anterior y se cumpla con lo dispuesto en el "Decreto por el que se reforma el Artículo Noveno Transitorio de la Ley de los Sistemas de Ahorro para el Retiro", publicado en el DOF el 24 de diciembre de 2002, para determinar los años de cotización, así como el monto de los ingresos gravados y la retención del impuesto, se estará a lo dispuesto en esta regla salvo lo relativo al número máximo de semanas cotizadas. El número máximo de semanas cotizadas será el número de semanas transcurridas entre el 1 de julio de 1997 y la fecha en que se emita el documento resolutivo de pensión del IMSS mediante el cual se acredite la disposición de tales recursos de conformidad con el Artículo Noveno Transitorio antes mencionado.</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eastAsia="es-ES"/>
              </w:rPr>
              <w:t>LISR 93, 142, 145, LSS 1973 183-C, Ley del Seguro Social 1997, Décimo Tercero Transitorio, Ley de los Sistemas del Ahorro para el Retiro Noveno Transitorio, RLISR 147, 171, 173, RMF 2018 3.11.2.</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b/>
                <w:bCs/>
                <w:color w:val="2F2F2F"/>
                <w:sz w:val="18"/>
                <w:szCs w:val="18"/>
                <w:lang w:eastAsia="es-ES"/>
              </w:rPr>
              <w:t>Procedimiento para determinar los años de cotización de los trabajadores afiliados al ISSSTE en el retiro de los recursos de la cuenta individual</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3.11.7.</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Para determinar los años de cotización a que se refiere el artículo 93, fracción XIII de la Ley del ISR, las administradoras de fondos para el retiro o PENSIONISSSTE, que entreguen al trabajador o a su(s) beneficiario(s) en una sola exhibición, recursos con cargo a la subcuenta de ahorro para el retiro (SAR ISSSTE) prevista en el artículo 90 BIS-C de la Ley del ISSSTE, vigente hasta el 31 de marzo de 2007, deberán utilizar la concesión o negativa de pensión emitida por el ISSSTE, o bien, la constancia que acredite que el trabajadorcuenta con una pensión derivada de un plan establecido por la Dependencia o Entidad. Cuando el trabajador adquiera el derecho a disfrutar de una pensión en los términos de la Ley del ISSSTE vigente hasta el 31 de marzo de 2007, se deberá utilizar la constancia emitida por la Dependencia o Entidad con la que se acredite el derecho, de conformidad con las disposiciones de carácter general que emita la CONSAR. En cualquier caso, eldocumento deberá indicar el número de años de cotización del trabajador.</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En caso de que el documento emitido por el ISSSTE no indique el número de años de cotización del trabajador, las administradoras de fondos para el retiro o PENSIONISSSTE podrán utilizar la información que el ISSSTE proporcione a través de los mecanismos de intercambio de información que prevea la CONSAR para la disposición y transferencia de recursos.</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Cuando la cotización se emita en número de semanas se dividirá entre 52. En ningún caso el número de semanas de cotización que se consideren en el cálculo podrá exceder de 850 semanas o 16 años. Para los efectos de este párrafo, toda fracción igual o mayor a 0.5 se considerará como un año completo.</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18"/>
                <w:szCs w:val="18"/>
                <w:lang w:eastAsia="es-ES"/>
              </w:rPr>
              <w:t> </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 xml:space="preserve">Para determinar el monto de los ingresos gravados, las administradoras de fondos para el retiro o PENSIONISSSTE disminuirán del total retirado de la subcuenta referida, la cantidad exenta determinada a partir de la información proporcionada por el trabajador o su(s) beneficiario(s), de acuerdo a lo establecido en los párrafos anteriores. El monto así obtenido se sujetará a lo dispuesto en el Capítulo IX del Título IV de la Ley del ISR. El trabajador o su(s) beneficiario(s), </w:t>
            </w:r>
            <w:r w:rsidRPr="00C259DA">
              <w:rPr>
                <w:rFonts w:ascii="Arial" w:eastAsia="Times New Roman" w:hAnsi="Arial" w:cs="Arial"/>
                <w:color w:val="2F2F2F"/>
                <w:sz w:val="18"/>
                <w:szCs w:val="18"/>
                <w:lang w:eastAsia="es-ES"/>
              </w:rPr>
              <w:lastRenderedPageBreak/>
              <w:t>podrán optar porque las administradoras de fondos para el retiro oPENSIONISSSTE efectúen la retención del ISR en los términos de la regla 3.11.2., y tratándose de trabajadores que cuenten con una pensión derivada de un plan establecido por la Dependencia o Entidad, no autorizado ni registrado por la CONSAR, deberán cumplir con los requisitos que para tales efectos establezca dicha Comisión mediante disposiciones de carácter general.</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Cuando las administradoras de fondos para el retiro o PENSIONISSSTE entreguen los recursos SAR ISSSTE por el sólo hecho de que el titular haya cumplido los 65 años de edad, conforme a lo señalado en la Ley del ISSSTE vigente al momento de cotización de tales recursos, la administradora o PENSIONISSSTE, obtendrá los años de cotización de la subcuenta con la información que al efecto proporcione el titular de la cuenta en lostérminos que señalen las disposiciones administrativas que emita la CONSAR, pudiendo el titular de la cuenta o su(s) beneficiario(s) optar porque las administradoras de fondos para el retiro o PENSIONISSSTE efectúen la retención del ISR en los términos de la regla 3.11.2., y acreditar el impuesto que le haya sido retenido por este concepto.</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El máximo de semanas referido en el segundo párrafo de la presente regla, podrá aumentar en 52 semanas por año transcurrido a partir de 2008 y hasta el momento en el que se efectúe el retiro. Cuando el número de semanas sea igual o mayor a 26 se considerará como año completo.</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Tratándose del pago en una sola exhibición de la subcuenta de retiro, cesantía en edad avanzada y vejez "RCV"prevista en la Ley del ISSSTE, cuando se obtenga la negativa de pensión por parte del ISSSTE o se acredite que el trabajador cuenta con una pensión derivada de un plan de pensión privado autorizado y registrado por la CONSAR, se estará a lo dispuesto en esta regla, salvo por lo señalado a continuación:</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Cuando la pensión del plan privado se pague en una sola exhibición, los fondos de la subcuenta de retiro, cesantía en edad avanzada y vejez "RCV" se le sumarán a dicho pago y se aplicará al total obtenido la exención indicada en los artículos 147, 171 y 173 del Reglamento de la Ley del ISR.</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El máximo de semanas referido en el segundo párrafo de esta regla se podrá aumentar en 52 semanas por año transcurrido a partir de 2008 y hasta el momento en el que se efectúe el retiro. Para los efectos de esta fracción, cuando el número de semanas sea igual o mayor a 26 se considerará como un año completo.</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eastAsia="es-ES"/>
              </w:rPr>
              <w:t>LISR 93, 142, 145, Ley del ISSSTE 1983 90 BIS-C, RLISR 147, 171, 173, RMF 2018 3.11.2.</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b/>
                <w:bCs/>
                <w:color w:val="2F2F2F"/>
                <w:sz w:val="18"/>
                <w:szCs w:val="18"/>
                <w:lang w:eastAsia="es-ES"/>
              </w:rPr>
              <w:t>Trámites que se presentan para liberar de la obligación de pagar erogaciones con transferencias electrónicas, cheque nominativo, tarjeta o monedero electrónico</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3.15.14.</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Para los efectos de los artículos 27, fracción III, tercer párrafo y 147, fracción IV, tercer párrafo de la Ley del ISR, así como 42 y 242 de su Reglamento, las personas físicas o morales que realicen erogaciones que se efectúen en poblaciones o zonas rurales, sin servicios financieros deberán solicitar la autorización correspondiente para quedar relevados de la obligación de realizar tales erogaciones a través de transferencias electrónicas, cheque nominativo, tarjeta o monedero electrónico en los términos señalados en la ficha de trámite 69/ISR "Solicitud de autorización para la liberación de la obligación de pagar erogaciones con transferencias electrónicas, cheque nominativo, tarjeta o monedero electrónico", contenida en el Anexo 1-A.</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Las personas físicas o morales que realicen erogaciones en poblaciones o zonas rurales, sin servicios financieros incluidas en el listado a que se refiere la regla 3.13.22., quedarán relevadas de solicitar la autorización indicada en el párrafo anterior, siempre que presenten aviso en términos de la ficha de trámite 126/ISR "Aviso para la liberación de la obligación de pagar erogaciones con transferencias electrónicas, cheque nominativo, tarjeta o monedero electrónico", contenida en el Anexo 1-A.</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eastAsia="es-ES"/>
              </w:rPr>
              <w:t>LISR 27, 147, RLISR 42, 242, RMF 2018 3.13.22.</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18"/>
                <w:szCs w:val="18"/>
                <w:lang w:eastAsia="es-ES"/>
              </w:rPr>
              <w:t> </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b/>
                <w:bCs/>
                <w:color w:val="2F2F2F"/>
                <w:sz w:val="18"/>
                <w:szCs w:val="18"/>
                <w:lang w:eastAsia="es-ES"/>
              </w:rPr>
              <w:t>Declaración anual vía telefónica</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3.17.13.</w:t>
            </w:r>
            <w:r w:rsidRPr="00C259DA">
              <w:rPr>
                <w:rFonts w:ascii="Arial" w:eastAsia="Times New Roman" w:hAnsi="Arial" w:cs="Arial"/>
                <w:color w:val="2F2F2F"/>
                <w:sz w:val="20"/>
                <w:szCs w:val="20"/>
                <w:lang w:eastAsia="es-ES"/>
              </w:rPr>
              <w:t>        </w:t>
            </w:r>
            <w:r w:rsidRPr="00C259DA">
              <w:rPr>
                <w:rFonts w:ascii="Arial" w:eastAsia="Times New Roman" w:hAnsi="Arial" w:cs="Arial"/>
                <w:b/>
                <w:bCs/>
                <w:color w:val="2F2F2F"/>
                <w:sz w:val="18"/>
                <w:szCs w:val="18"/>
                <w:lang w:eastAsia="es-ES"/>
              </w:rPr>
              <w:t>(Se deroga)</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b/>
                <w:bCs/>
                <w:color w:val="2F2F2F"/>
                <w:sz w:val="18"/>
                <w:szCs w:val="18"/>
                <w:lang w:eastAsia="es-ES"/>
              </w:rPr>
              <w:t>Opción para que los residentes en el extranjero que realicen operaciones de maquila a través de una empresa con programa IMMEX bajo la modalidad de albergue cumplan sus obligaciones fiscales a través de dicha empresa</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3.20.6.</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Para efectos de lo dispuesto en los artículos 2 y 183, último párrafo de la Ley del ISR, los residentes en el extranjero que realicen operaciones de maquila a través de una empresa con programa IMMEX bajo la modalidad de albergue podrán optar por cumplir sus obligaciones fiscales a través de la empresa con programa IMMEX bajo la modalidad de albergue, una vez que se haya agotado el periodo de permanencia establecido en el último párrafo del citado artículo 183, conforme a lo siguiente:</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Los residentes en el extranjero, por conducto de la empresa con programa IMMEX bajo la modalidad de albergue con la que realicen operaciones de maquila, deberán cumplir con lo siguiente:</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a)</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Solicitar a las autoridades fiscales una clave en el RFC sin obligaciones fiscales, de conformidad con la ficha de trámite 43/CFF "Solicitud de inscripción en el RFC de personas morales en la ADSC", contenida en el Anexo 1-A.</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b)</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Presentar un aviso ante las autoridades fiscales en el que manifiesten que ejercen la opción a que se refiere la presente regla por un periodo máximo de cuatro ejercicios, contados a partir de la fecha en que hayan excedido el plazo de cuatro años a que se refiere el artículo 183, último párrafo de la Ley del ISR, de conformidad con la ficha de trámite 111/ISR "Aviso de los residentes en el extranjero en el que manifiesten su voluntad de optar por la facilidad administrativa establecida en la regla 3.20.6.", contenida en el Anexo 1-A.</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 xml:space="preserve">Para efectos del párrafo anterior, cuando el plazo establecido en el artículo 183, último párrafo de la Ley del ISR no coincida con el año calendario, los residentes en el extranjero deberán cumplir con sus obligaciones fiscales a partir del siguiente </w:t>
            </w:r>
            <w:r w:rsidRPr="00C259DA">
              <w:rPr>
                <w:rFonts w:ascii="Arial" w:eastAsia="Times New Roman" w:hAnsi="Arial" w:cs="Arial"/>
                <w:color w:val="2F2F2F"/>
                <w:sz w:val="18"/>
                <w:szCs w:val="18"/>
                <w:lang w:eastAsia="es-ES"/>
              </w:rPr>
              <w:lastRenderedPageBreak/>
              <w:t>mes al que concluya el plazo antes señalado de conformidad con el artículo 11, primer párrafo del CFF.</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c)</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Presentar las declaraciones de pagos provisionales y declaración anual, de conformidad con lo dispuesto en la Ley de ISR. Tratándose de la primera vez que deban efectuar pagos provisionales mensuales estarán a lo dispuesto en la regla 3.20.8.</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d)</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Presentar declaración informativa anual en la que desglosen mensualmente el valor de los activos fijos, los inventarios de materias primas, productos semi-terminados y terminados, que sean de su propiedad, así como el monto de los costos y gastos en los que incurran y que sean inherentes a la operación de maquila, estimados de conformidad con lo señalado en lasfracciones I y II del artículo 182 de la Ley del ISR.</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Las empresas con programa IMMEX bajo la modalidad de albergue deberán cumplir, durante todo el plazo a que se refiere el inciso b) de la fracción I de la presente regla, con lo siguiente:</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a)</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Identificar las operaciones y determinar la utilidad fiscal que corresponda a cada uno de los residentes en el extranjero, conforme al monto mayor que resulte de comparar lo dispuesto en el artículo 182, fracciones I y II de la Ley del ISR o bien podrán obtener una resolución particular en términos del artículo 34-A del CFF para cada uno de sus clientes residentes en el extranjero que realicen actividad de maquila a través de la empresa con programa IMMEX bajo la modalidad de albergue a partir de la fecha en que hayan excedido el plazo de 4 años a que se refiere el artículo 183 de la Ley de ISR, para efectos de determinar y enterar el impuesto que resulte de aplicar a dicha utilidad la tasa que señala el artículo 9 de la citada Ley.</w:t>
            </w:r>
          </w:p>
          <w:p w:rsidR="00C259DA" w:rsidRPr="00C259DA" w:rsidRDefault="00C259DA" w:rsidP="00C259DA">
            <w:pPr>
              <w:spacing w:after="70"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color w:val="2F2F2F"/>
                <w:sz w:val="18"/>
                <w:szCs w:val="18"/>
                <w:lang w:eastAsia="es-ES"/>
              </w:rPr>
              <w:t> </w:t>
            </w:r>
          </w:p>
          <w:p w:rsidR="00C259DA" w:rsidRPr="00C259DA" w:rsidRDefault="00C259DA" w:rsidP="00C259DA">
            <w:pPr>
              <w:spacing w:after="70"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Para efectos del párrafo anterior, en la determinación de la utilidad fiscal de cada uno de los residentes en el extranjero, calculada conforme al artículo 182 de la Ley del ISR, se considerarán exclusivamente los activos fijos e inventarios de materia prima que son utilizados en la operación de maquila, así como los costos y gastos atribuibles a la operación de maquila en Méxicocorrespondientes a cada residente en el extranjero.</w:t>
            </w:r>
          </w:p>
          <w:p w:rsidR="00C259DA" w:rsidRPr="00C259DA" w:rsidRDefault="00C259DA" w:rsidP="00C259DA">
            <w:pPr>
              <w:spacing w:after="70"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b)</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Presentar en tiempo y forma la información que establezca la autoridad en la DIEMSE referente a las empresas albergadas.</w:t>
            </w:r>
          </w:p>
          <w:p w:rsidR="00C259DA" w:rsidRPr="00C259DA" w:rsidRDefault="00C259DA" w:rsidP="00C259DA">
            <w:pPr>
              <w:spacing w:after="70"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c)</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Mantener a disposición de las autoridades fiscales la documentación que acredite que la información de las empresas de residentes en el extranjero se encuentra debidamente identificada de forma individual por cada una de dichas empresas en la contabilidad de la empresa con programa IMMEX bajo la modalidad de albergue, durante el plazo establecido en el artículo 30 del CFF, así como permitir la inspección de dichas autoridades, cuando éstas lorequieran, a efecto de verificar la correcta determinación del cálculo y entero de las contribuciones correspondientes a cada uno de los residentes en el extranjero.</w:t>
            </w:r>
          </w:p>
          <w:p w:rsidR="00C259DA" w:rsidRPr="00C259DA" w:rsidRDefault="00C259DA" w:rsidP="00C259DA">
            <w:pPr>
              <w:spacing w:after="70"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d)</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Contar con la certificación a que se refiere la regla 7.3.1. de las Reglas Generales de Comercio Exterior, bajo la modalidad más alta posible conforme a su antigüedad.</w:t>
            </w:r>
          </w:p>
          <w:p w:rsidR="00C259DA" w:rsidRPr="00C259DA" w:rsidRDefault="00C259DA" w:rsidP="00C259DA">
            <w:pPr>
              <w:spacing w:after="70"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e)</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Contar con la opinión positiva del cumplimiento de sus obligaciones fiscales a que refiere la regla 2.1.39., y hacerla pública, en términos de la regla 2.1.27.</w:t>
            </w:r>
          </w:p>
          <w:p w:rsidR="00C259DA" w:rsidRPr="00C259DA" w:rsidRDefault="00C259DA" w:rsidP="00C259DA">
            <w:pPr>
              <w:spacing w:after="70"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f)</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No encontrarse en los listados a que se refieren los artículos 69 y 69-B del CFF como consecuencia de haber actualizado los supuestos de las fracciones I, II, III y IV del artículo 69 del CFF.</w:t>
            </w:r>
          </w:p>
          <w:p w:rsidR="00C259DA" w:rsidRPr="00C259DA" w:rsidRDefault="00C259DA" w:rsidP="00C259DA">
            <w:pPr>
              <w:spacing w:after="70"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g)</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Participar en el programa de verificación en tiempo real a cargo de la AGGC del SAT.</w:t>
            </w:r>
          </w:p>
          <w:p w:rsidR="00C259DA" w:rsidRPr="00C259DA" w:rsidRDefault="00C259DA" w:rsidP="00C259DA">
            <w:pPr>
              <w:spacing w:after="70"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h)</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Manifestar expresamente su voluntad de asumir la responsabilidad solidaria en el cálculo y entero del impuesto determinado por cuenta del residente en el extranjero, de conformidad con la ficha de trámite 112/ISR "Aviso mediante el cual se asume voluntariamente la responsabilidad solidaria en el cálculo y entero del impuesto determinado por cuenta del residente en el extranjero",contenida en el Anexo 1-A, en términos del artículo 26, fracción VIII del CFF.</w:t>
            </w:r>
          </w:p>
          <w:p w:rsidR="00C259DA" w:rsidRPr="00C259DA" w:rsidRDefault="00C259DA" w:rsidP="00C259DA">
            <w:pPr>
              <w:spacing w:after="70"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Para ejercer la facilidad establecida en el primer párrafo de esta regla, la jurisdicción de donde sea residente fiscal el extranjero deberá tener en vigor un acuerdo amplio de intercambio de información con México, sin perjuicio del cumplimiento a los requisitos contenidos en el instrumento internacional aplicable.</w:t>
            </w:r>
          </w:p>
          <w:p w:rsidR="00C259DA" w:rsidRPr="00C259DA" w:rsidRDefault="00C259DA" w:rsidP="00C259DA">
            <w:pPr>
              <w:spacing w:after="70"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La facilidad establecida en el primer párrafo de esta regla no podrá ser ejercida por residentes en el extranjero que constituyan o que con anterioridad hayan constituido establecimiento permanente en el país ni por aquéllos que hayan estado albergados previamente en otra empresa con programa IMMEX bajo la modalidad de albergue y hayan concluido el plazo señalado en el inciso b) de la fracción I dela presente regla.</w:t>
            </w:r>
          </w:p>
          <w:p w:rsidR="00C259DA" w:rsidRPr="00C259DA" w:rsidRDefault="00C259DA" w:rsidP="00C259DA">
            <w:pPr>
              <w:spacing w:after="70"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En ningún caso se podrá transferir a la empresa con programa IMMEX bajo la modalidad de albergue, la maquinaria, equipo, herramientas, moldes y troqueles y otros activos fijos similares e inventarios, propiedad de sus clientes residente en el extranjero, de sus partes relacionadas extranjeras o clientes extranjeros, ni antes ni durante el periodo en el que aplique la facilidad establecida en el primer párrafo de la presente regla.</w:t>
            </w:r>
          </w:p>
          <w:p w:rsidR="00C259DA" w:rsidRPr="00C259DA" w:rsidRDefault="00C259DA" w:rsidP="00C259DA">
            <w:pPr>
              <w:spacing w:after="70"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La opción que otorga la presente regla será aplicable siempre que la empresa que opera el programa IMMEX bajo la modalidad de albergue, en ningún caso obtenga ingresos por la venta o distribución de productos manufacturados en México.</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Se tendrá por cancelada la facilidad establecida en el primer párrafo de esta regla cuando se incumpla con cualquier obligación fiscal que la empresa con programa IMMEX bajo la modalidad de albergue, deba cumplir por cuenta del residente en el extranjero. El cumplimiento de dichas obligaciones fiscales liberará al residente en el extranjero, respecto a las operaciones de maquila realizadas a través de una empresa con programaIMMEX bajo la modalidad de albergue, de cualquier obligación formal de registro y de presentación de declaraciones fiscales en México por el periodo señalado en el inciso b) de la fracción I de la presente regla.</w:t>
            </w:r>
          </w:p>
          <w:p w:rsidR="00C259DA" w:rsidRPr="00C259DA" w:rsidRDefault="00C259DA" w:rsidP="00C259DA">
            <w:pPr>
              <w:spacing w:after="74"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18"/>
                <w:szCs w:val="18"/>
                <w:lang w:eastAsia="es-ES"/>
              </w:rPr>
              <w:t> </w:t>
            </w:r>
          </w:p>
          <w:p w:rsidR="00C259DA" w:rsidRPr="00C259DA" w:rsidRDefault="00C259DA" w:rsidP="00C259DA">
            <w:pPr>
              <w:spacing w:after="74"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 xml:space="preserve">Los residentes en el extranjero que realicen actividad de maquila a través de una empresa con programa IMMEX bajo la modalidad de albergue que decidan dar por terminado el contrato que tienen celebrado con la referida empresa, podrán continuar el plazo que reste conforme a la fracción I, inciso b) de la presente regla, siempre que celebren un nuevo contrato con otra empresa con programa IMMEX bajo la modalidad de albergue y secumplan con los requisitos que se precisan en </w:t>
            </w:r>
            <w:r w:rsidRPr="00C259DA">
              <w:rPr>
                <w:rFonts w:ascii="Arial" w:eastAsia="Times New Roman" w:hAnsi="Arial" w:cs="Arial"/>
                <w:color w:val="2F2F2F"/>
                <w:sz w:val="18"/>
                <w:szCs w:val="18"/>
                <w:lang w:eastAsia="es-ES"/>
              </w:rPr>
              <w:lastRenderedPageBreak/>
              <w:t>las fracciones I y II anteriores.</w:t>
            </w:r>
          </w:p>
          <w:p w:rsidR="00C259DA" w:rsidRPr="00C259DA" w:rsidRDefault="00C259DA" w:rsidP="00C259DA">
            <w:pPr>
              <w:spacing w:after="74"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En el caso de que los residentes en el extranjero den por terminado el contrato antes de que se cumplan los 4 ejercicios a que se refiere el inciso b) de la fracción I de esta regla y continúen realizando operaciones de maquila en territorio nacional, fuera de cualquier empresa con programa IMMEX bajo la modalidad de albergue, deberán continuar presentando sus declaraciones de pagos provisionales y presentarán la declaración anualcorrespondiente, considerando todas sus operaciones del ejercicio, incluidas las que realizaron en el periodo en que estuvo vigente su contrato con alguna empresa con programa IMMEX bajo la modalidad de albergue. Asimismo deberán cumplir con todas sus obligaciones de carácter fiscal, de conformidad con el artículo 76 de la Ley del ISR.</w:t>
            </w:r>
          </w:p>
          <w:p w:rsidR="00C259DA" w:rsidRPr="00C259DA" w:rsidRDefault="00C259DA" w:rsidP="00C259DA">
            <w:pPr>
              <w:spacing w:after="74"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Cuando el residente en el extranjero haya obtenido una resolución particular en los términos del artículo 34-A del CFF, el residente en el extranjero y, en su caso, la empresa con programa IMMEX bajo la modalidad dealbergue, con la que contrate estarán a lo dispuesto en dicha resolución por el periodo establecido en el propio CFF, siempre que se cumplan los requisitos establecidos en la citada resolución.</w:t>
            </w:r>
          </w:p>
          <w:p w:rsidR="00C259DA" w:rsidRPr="00C259DA" w:rsidRDefault="00C259DA" w:rsidP="00C259DA">
            <w:pPr>
              <w:spacing w:after="74"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En caso de que el contrato celebrado entre el residente en el extranjero y la empresa con programa IMMEX bajo la modalidad de albergue se dé por terminado antes de que se cumpla el periodo de cuatro ejercicios establecido en el inciso b) de la fracción I, de la presente regla y los residentes en el extranjero dejen de realizar operaciones en territorio nacional, deberán presentar por conducto de la empresa con programa IMMEX bajo lamodalidad de albergue, su declaración anual de conformidad con lo dispuesto en el artículo 76, fracción V, de la Ley de ISR, correspondiente al último ejercicio en el que hayan realizado actividades de maquila a través de la empresa con programa IMMEX bajo la modalidad de albergue, dentro de los tres meses siguientes a la fecha en que concluya el contrato.</w:t>
            </w:r>
          </w:p>
          <w:p w:rsidR="00C259DA" w:rsidRPr="00C259DA" w:rsidRDefault="00C259DA" w:rsidP="00C259DA">
            <w:pPr>
              <w:spacing w:after="74"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eastAsia="es-ES"/>
              </w:rPr>
              <w:t>CFF 26, 30, 34-A, 69, 69-B, LISR 2, 9, 182, 183, RMF 2018 2.1.27., 2.1.39., 3.20.6., Reglas Generales de Comercio Exterior 2018 7.3.1.</w:t>
            </w:r>
          </w:p>
          <w:p w:rsidR="00C259DA" w:rsidRPr="00C259DA" w:rsidRDefault="00C259DA" w:rsidP="00C259DA">
            <w:pPr>
              <w:spacing w:after="74"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b/>
                <w:bCs/>
                <w:color w:val="2F2F2F"/>
                <w:sz w:val="18"/>
                <w:szCs w:val="18"/>
                <w:lang w:eastAsia="es-ES"/>
              </w:rPr>
              <w:t>Pagos provisionales que realizan por primera vez los residentes en el extranjero por conducto de una empresa con programa IMMEX bajo la modalidad de albergue</w:t>
            </w:r>
          </w:p>
          <w:p w:rsidR="00C259DA" w:rsidRPr="00C259DA" w:rsidRDefault="00C259DA" w:rsidP="00C259DA">
            <w:pPr>
              <w:spacing w:after="74"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3.20.8.</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Los residentes en el extranjero que opten por cumplir con sus obligaciones fiscales de conformidad con lo dispuesto en la regla 3.20.6., y que por primera vez vayan a efectuar pagos provisionales mensuales por conducto de la empresa con programa IMMEX bajo la modalidad de albergue, para su determinación deberán sujetarse a lo siguiente:</w:t>
            </w:r>
          </w:p>
          <w:p w:rsidR="00C259DA" w:rsidRPr="00C259DA" w:rsidRDefault="00C259DA" w:rsidP="00C259DA">
            <w:pPr>
              <w:spacing w:after="74"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La empresa con programa IMMEX determinará el ISR que le hubiera correspondido a cada uno de los residentes en el extranjero, en el ejercicio fiscal inmediato anterior al año en que concluya el plazo que establece el último párrafo del artículo 183 de la Ley del ISR, de haber estado obligados a tributar en este impuesto, utilizando para tales efectos la utilidad fiscal que hubiera resultado de aplicar el monto mayor que resulte de comparar lo dispuesto en las fracciones I y II del artículo 182 de la Ley del ISR.</w:t>
            </w:r>
          </w:p>
          <w:p w:rsidR="00C259DA" w:rsidRPr="00C259DA" w:rsidRDefault="00C259DA" w:rsidP="00C259DA">
            <w:pPr>
              <w:spacing w:after="74"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Los pagos provisionales mensuales serán la cantidad que resulte de dividir entre doce el ISR del ejercicio determinado, que le hubiera correspondido, para cada uno de los residentes en el extranjero de conformidad a lo establecido en la fracción anterior, multiplicando dicho resultado por los meses transcurridos en el ejercicio a que corresponda el pago provisional, pudiendo acreditar contra el impuesto a pagar, los pagos provisionales del mismo ejercicio efectuados con anterioridad, deconformidad con el artículo 14 de la Ley del ISR.</w:t>
            </w:r>
          </w:p>
          <w:p w:rsidR="00C259DA" w:rsidRPr="00C259DA" w:rsidRDefault="00C259DA" w:rsidP="00C259DA">
            <w:pPr>
              <w:spacing w:after="74"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El primer pago provisional comprenderá el primero, el segundo y el tercer mes del ejercicio, sea regular o irregular, y se efectuará en la fecha en que deba realizarse el pago provisional correspondiente al tercer mes del ejercicio.</w:t>
            </w:r>
          </w:p>
          <w:p w:rsidR="00C259DA" w:rsidRPr="00C259DA" w:rsidRDefault="00C259DA" w:rsidP="00C259DA">
            <w:pPr>
              <w:spacing w:after="74"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Tratándose de ejercicios irregulares, únicamente se efectuarán pagos provisionales cuando el ejercicio sea por un periodo igual o mayor a tres meses.</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eastAsia="es-ES"/>
              </w:rPr>
              <w:t>LISR 14, 182, RMF 2018 3.20.6.</w:t>
            </w:r>
          </w:p>
          <w:p w:rsidR="00C259DA" w:rsidRPr="00C259DA" w:rsidRDefault="00C259DA" w:rsidP="00C259DA">
            <w:pPr>
              <w:spacing w:after="80"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18"/>
                <w:szCs w:val="18"/>
                <w:lang w:eastAsia="es-ES"/>
              </w:rPr>
              <w:t> </w:t>
            </w:r>
          </w:p>
          <w:p w:rsidR="00C259DA" w:rsidRPr="00C259DA" w:rsidRDefault="00C259DA" w:rsidP="00C259DA">
            <w:pPr>
              <w:spacing w:after="80"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b/>
                <w:bCs/>
                <w:color w:val="2F2F2F"/>
                <w:sz w:val="18"/>
                <w:szCs w:val="18"/>
                <w:lang w:eastAsia="es-ES"/>
              </w:rPr>
              <w:t>No retención de ISR por la distribución a fondos de inversión del resultado fiscal de fideicomisos dedicados a la adquisición o construcción de inmuebles</w:t>
            </w:r>
          </w:p>
          <w:p w:rsidR="00C259DA" w:rsidRPr="00C259DA" w:rsidRDefault="00C259DA" w:rsidP="00C259DA">
            <w:pPr>
              <w:spacing w:after="80"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3.21.3.10.</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Para efectos del artículo 188, fracción IV de la Ley del ISR, las instituciones del sistema financiero que efectúen pagos por la distribución del resultado fiscal de los fideicomisos referidos en el artículo 187 de la Ley del ISR, podrán no efectuar la retención del ISR causado por las distribuciones de dicho resultado a los fondos de inversión de renta variable, siempre que dichos fondos calculen, retengan y enteren el ISR correspondiente alos integrantes o accionistas de los citados fondos de inversión de conformidad con lo establecido en el artículo 87, noveno párrafo de la Ley del ISR y la regla 3.10.29., en el momento en que el fondo efectivamente perciba los ingresos por la distribución del resultado fiscal de los fideicomisos.</w:t>
            </w:r>
          </w:p>
          <w:p w:rsidR="00C259DA" w:rsidRPr="00C259DA" w:rsidRDefault="00C259DA" w:rsidP="00C259DA">
            <w:pPr>
              <w:spacing w:after="80"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Para efectos del párrafo anterior, los fondos de inversión de renta variable deberán informar a dichas instituciones del sistema financiero que llevarán a cabo el cálculo, retención y entero del ISR correspondiente.</w:t>
            </w:r>
          </w:p>
          <w:p w:rsidR="00C259DA" w:rsidRPr="00C259DA" w:rsidRDefault="00C259DA" w:rsidP="00C259DA">
            <w:pPr>
              <w:spacing w:after="80"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eastAsia="es-ES"/>
              </w:rPr>
              <w:t>LISR 87, 187, 188, RMF 2018 3.10.29.</w:t>
            </w:r>
          </w:p>
          <w:p w:rsidR="00C259DA" w:rsidRPr="00C259DA" w:rsidRDefault="00C259DA" w:rsidP="00C259DA">
            <w:pPr>
              <w:spacing w:after="80"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b/>
                <w:bCs/>
                <w:color w:val="2F2F2F"/>
                <w:sz w:val="18"/>
                <w:szCs w:val="18"/>
                <w:lang w:eastAsia="es-ES"/>
              </w:rPr>
              <w:t>Valor de la contraprestación en la transmisión de activos y pasivos resultantes de una orden proveniente de una autoridad federal</w:t>
            </w:r>
          </w:p>
          <w:p w:rsidR="00C259DA" w:rsidRPr="00C259DA" w:rsidRDefault="00C259DA" w:rsidP="00C259DA">
            <w:pPr>
              <w:spacing w:after="80"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4.2.7.</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Para efectos del artículo 34 de la Ley del IVA, cuando una persona moral reciba como contraprestación acciones como consecuencia de la enajenación de activos de conformidad con la regla 3.1.20., se considerará como el valor de la contraprestación, el valor fiscal referido en dicha regla.</w:t>
            </w:r>
          </w:p>
          <w:p w:rsidR="00C259DA" w:rsidRPr="00C259DA" w:rsidRDefault="00C259DA" w:rsidP="00C259DA">
            <w:pPr>
              <w:spacing w:after="80"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eastAsia="es-ES"/>
              </w:rPr>
              <w:t>LIVA 34, RMF 2018 3.1.20.</w:t>
            </w:r>
          </w:p>
          <w:p w:rsidR="00C259DA" w:rsidRPr="00C259DA" w:rsidRDefault="00C259DA" w:rsidP="00C259DA">
            <w:pPr>
              <w:spacing w:after="80"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b/>
                <w:bCs/>
                <w:color w:val="2F2F2F"/>
                <w:sz w:val="18"/>
                <w:szCs w:val="18"/>
                <w:lang w:eastAsia="es-ES"/>
              </w:rPr>
              <w:t>Procedimiento para la solicitud y entrega de marbetes o precintos</w:t>
            </w:r>
          </w:p>
          <w:p w:rsidR="00C259DA" w:rsidRPr="00C259DA" w:rsidRDefault="00C259DA" w:rsidP="00C259DA">
            <w:pPr>
              <w:spacing w:after="80"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5.2.8.</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Para los efectos del artículo 19, fracción V de la Ley del IEPS, los contribuyentes de este impuesto obligados a adherir marbetes o precintos, deberán solicitarlos a través del Portal del SAT siempre que se cumpla con lo dispuesto por la regla 5.3.1. y lo establecido en el Anexo 1 A.</w:t>
            </w:r>
          </w:p>
          <w:p w:rsidR="00C259DA" w:rsidRPr="00C259DA" w:rsidRDefault="00C259DA" w:rsidP="00C259DA">
            <w:pPr>
              <w:spacing w:after="80"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lastRenderedPageBreak/>
              <w:t>                   </w:t>
            </w:r>
            <w:r w:rsidRPr="00C259DA">
              <w:rPr>
                <w:rFonts w:ascii="Arial" w:eastAsia="Times New Roman" w:hAnsi="Arial" w:cs="Arial"/>
                <w:color w:val="2F2F2F"/>
                <w:sz w:val="18"/>
                <w:szCs w:val="18"/>
                <w:lang w:eastAsia="es-ES"/>
              </w:rPr>
              <w:t>La autoridad emitirá la resolución correspondiente, dentro de los diez días siguientes a la presentación de la solicitud de marbetes o precintos, salvo que se haya requerido información o documentación en los términos del artículo 19, fracción XV, segundo párrafo de la Ley del IEPS. En este caso, el término comenzará a correr desde que el requerimiento haya sido cumplido.</w:t>
            </w:r>
          </w:p>
          <w:p w:rsidR="00C259DA" w:rsidRPr="00C259DA" w:rsidRDefault="00C259DA" w:rsidP="00C259DA">
            <w:pPr>
              <w:spacing w:after="80"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Tratándose de los contribuyentes cuyo domicilio fiscal corresponda a alguna de las ADSC's que a continuación se señalan, en lugar de recoger los marbetes o precintos solicitados ante la ADSC que corresponda a su domicilio fiscal, se recogerán en los siguientes lugares:</w:t>
            </w:r>
          </w:p>
          <w:tbl>
            <w:tblPr>
              <w:tblW w:w="0" w:type="auto"/>
              <w:tblInd w:w="1420" w:type="dxa"/>
              <w:tblCellMar>
                <w:top w:w="15" w:type="dxa"/>
                <w:left w:w="15" w:type="dxa"/>
                <w:bottom w:w="15" w:type="dxa"/>
                <w:right w:w="15" w:type="dxa"/>
              </w:tblCellMar>
              <w:tblLook w:val="04A0"/>
            </w:tblPr>
            <w:tblGrid>
              <w:gridCol w:w="3261"/>
              <w:gridCol w:w="3959"/>
            </w:tblGrid>
            <w:tr w:rsidR="00C259DA" w:rsidRPr="00C259DA" w:rsidTr="00C259DA">
              <w:trPr>
                <w:trHeight w:val="743"/>
              </w:trPr>
              <w:tc>
                <w:tcPr>
                  <w:tcW w:w="3261" w:type="dxa"/>
                  <w:tcBorders>
                    <w:top w:val="single" w:sz="6" w:space="0" w:color="000000"/>
                    <w:left w:val="single" w:sz="6" w:space="0" w:color="000000"/>
                    <w:bottom w:val="single" w:sz="6" w:space="0" w:color="000000"/>
                    <w:right w:val="single" w:sz="6" w:space="0" w:color="000000"/>
                  </w:tcBorders>
                  <w:shd w:val="clear" w:color="auto" w:fill="C0C0C0"/>
                  <w:tcMar>
                    <w:top w:w="0" w:type="dxa"/>
                    <w:left w:w="70" w:type="dxa"/>
                    <w:bottom w:w="0" w:type="dxa"/>
                    <w:right w:w="70" w:type="dxa"/>
                  </w:tcMar>
                  <w:hideMark/>
                </w:tcPr>
                <w:p w:rsidR="00C259DA" w:rsidRPr="00C259DA" w:rsidRDefault="00C259DA" w:rsidP="00C259DA">
                  <w:pPr>
                    <w:spacing w:after="80"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b/>
                      <w:bCs/>
                      <w:color w:val="000000"/>
                      <w:sz w:val="18"/>
                      <w:szCs w:val="18"/>
                      <w:lang w:eastAsia="es-ES"/>
                    </w:rPr>
                    <w:t>Contribuyentes con domicilio fiscalen la circunscripción territorial de laADSC de:</w:t>
                  </w:r>
                </w:p>
              </w:tc>
              <w:tc>
                <w:tcPr>
                  <w:tcW w:w="3959" w:type="dxa"/>
                  <w:tcBorders>
                    <w:top w:val="single" w:sz="6" w:space="0" w:color="000000"/>
                    <w:left w:val="single" w:sz="6" w:space="0" w:color="000000"/>
                    <w:bottom w:val="single" w:sz="6" w:space="0" w:color="000000"/>
                    <w:right w:val="single" w:sz="6" w:space="0" w:color="000000"/>
                  </w:tcBorders>
                  <w:shd w:val="clear" w:color="auto" w:fill="C0C0C0"/>
                  <w:tcMar>
                    <w:top w:w="0" w:type="dxa"/>
                    <w:left w:w="70" w:type="dxa"/>
                    <w:bottom w:w="0" w:type="dxa"/>
                    <w:right w:w="70" w:type="dxa"/>
                  </w:tcMar>
                  <w:hideMark/>
                </w:tcPr>
                <w:p w:rsidR="00C259DA" w:rsidRPr="00C259DA" w:rsidRDefault="00C259DA" w:rsidP="00C259DA">
                  <w:pPr>
                    <w:spacing w:after="80"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b/>
                      <w:bCs/>
                      <w:color w:val="000000"/>
                      <w:sz w:val="18"/>
                      <w:szCs w:val="18"/>
                      <w:lang w:eastAsia="es-ES"/>
                    </w:rPr>
                    <w:t>Lugar de entrega de formas numeradas</w:t>
                  </w:r>
                </w:p>
              </w:tc>
            </w:tr>
            <w:tr w:rsidR="00C259DA" w:rsidRPr="00C259DA" w:rsidTr="00C259DA">
              <w:trPr>
                <w:trHeight w:val="4096"/>
              </w:trPr>
              <w:tc>
                <w:tcPr>
                  <w:tcW w:w="3261" w:type="dxa"/>
                  <w:tcBorders>
                    <w:top w:val="single" w:sz="6" w:space="0" w:color="000000"/>
                    <w:left w:val="single" w:sz="6" w:space="0" w:color="000000"/>
                    <w:bottom w:val="single" w:sz="6" w:space="0" w:color="000000"/>
                    <w:right w:val="single" w:sz="6" w:space="0" w:color="000000"/>
                  </w:tcBorders>
                  <w:tcMar>
                    <w:top w:w="0" w:type="dxa"/>
                    <w:left w:w="70" w:type="dxa"/>
                    <w:bottom w:w="0" w:type="dxa"/>
                    <w:right w:w="70" w:type="dxa"/>
                  </w:tcMar>
                  <w:hideMark/>
                </w:tcPr>
                <w:p w:rsidR="00C259DA" w:rsidRPr="00C259DA" w:rsidRDefault="00C259DA" w:rsidP="00C259DA">
                  <w:pPr>
                    <w:spacing w:after="40"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Distrito Federal "2"</w:t>
                  </w:r>
                </w:p>
                <w:p w:rsidR="00C259DA" w:rsidRPr="00C259DA" w:rsidRDefault="00C259DA" w:rsidP="00C259DA">
                  <w:pPr>
                    <w:spacing w:after="40"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Distrito Federal "1"</w:t>
                  </w:r>
                </w:p>
                <w:p w:rsidR="00C259DA" w:rsidRPr="00C259DA" w:rsidRDefault="00C259DA" w:rsidP="00C259DA">
                  <w:pPr>
                    <w:spacing w:after="40"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Distrito Federal "3"</w:t>
                  </w:r>
                </w:p>
                <w:p w:rsidR="00C259DA" w:rsidRPr="00C259DA" w:rsidRDefault="00C259DA" w:rsidP="00C259DA">
                  <w:pPr>
                    <w:spacing w:after="40"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Distrito Federal "4"</w:t>
                  </w:r>
                </w:p>
                <w:p w:rsidR="00C259DA" w:rsidRPr="00C259DA" w:rsidRDefault="00C259DA" w:rsidP="00C259DA">
                  <w:pPr>
                    <w:spacing w:after="40"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México "2"</w:t>
                  </w:r>
                </w:p>
                <w:p w:rsidR="00C259DA" w:rsidRPr="00C259DA" w:rsidRDefault="00C259DA" w:rsidP="00C259DA">
                  <w:pPr>
                    <w:spacing w:after="40"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México "1"</w:t>
                  </w:r>
                </w:p>
                <w:p w:rsidR="00C259DA" w:rsidRPr="00C259DA" w:rsidRDefault="00C259DA" w:rsidP="00C259DA">
                  <w:pPr>
                    <w:spacing w:after="40"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Hidalgo "1"</w:t>
                  </w:r>
                </w:p>
                <w:p w:rsidR="00C259DA" w:rsidRPr="00C259DA" w:rsidRDefault="00C259DA" w:rsidP="00C259DA">
                  <w:pPr>
                    <w:spacing w:after="40"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Morelos "1"</w:t>
                  </w:r>
                </w:p>
                <w:p w:rsidR="00C259DA" w:rsidRPr="00C259DA" w:rsidRDefault="00C259DA" w:rsidP="00C259DA">
                  <w:pPr>
                    <w:spacing w:after="40"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Tlaxcala "1"</w:t>
                  </w:r>
                </w:p>
                <w:p w:rsidR="00C259DA" w:rsidRPr="00C259DA" w:rsidRDefault="00C259DA" w:rsidP="00C259DA">
                  <w:pPr>
                    <w:spacing w:after="40"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Puebla "1"</w:t>
                  </w:r>
                </w:p>
                <w:p w:rsidR="00C259DA" w:rsidRPr="00C259DA" w:rsidRDefault="00C259DA" w:rsidP="00C259DA">
                  <w:pPr>
                    <w:spacing w:after="40"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Puebla "2"</w:t>
                  </w:r>
                </w:p>
                <w:p w:rsidR="00C259DA" w:rsidRPr="00C259DA" w:rsidRDefault="00C259DA" w:rsidP="00C259DA">
                  <w:pPr>
                    <w:spacing w:after="40"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Guerrero "1"</w:t>
                  </w:r>
                </w:p>
                <w:p w:rsidR="00C259DA" w:rsidRPr="00C259DA" w:rsidRDefault="00C259DA" w:rsidP="00C259DA">
                  <w:pPr>
                    <w:spacing w:after="40"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Guerrero "2"</w:t>
                  </w:r>
                </w:p>
                <w:p w:rsidR="00C259DA" w:rsidRPr="00C259DA" w:rsidRDefault="00C259DA" w:rsidP="00C259DA">
                  <w:pPr>
                    <w:spacing w:after="40"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Querétaro "1"</w:t>
                  </w:r>
                </w:p>
                <w:p w:rsidR="00C259DA" w:rsidRPr="00C259DA" w:rsidRDefault="00C259DA" w:rsidP="00C259DA">
                  <w:pPr>
                    <w:spacing w:after="40"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Guanajuato "3"</w:t>
                  </w:r>
                </w:p>
                <w:p w:rsidR="00C259DA" w:rsidRPr="00C259DA" w:rsidRDefault="00C259DA" w:rsidP="00C259DA">
                  <w:pPr>
                    <w:spacing w:after="40"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Guanajuato "1"</w:t>
                  </w:r>
                </w:p>
              </w:tc>
              <w:tc>
                <w:tcPr>
                  <w:tcW w:w="3959" w:type="dxa"/>
                  <w:tcBorders>
                    <w:top w:val="single" w:sz="6" w:space="0" w:color="000000"/>
                    <w:left w:val="single" w:sz="6" w:space="0" w:color="000000"/>
                    <w:bottom w:val="single" w:sz="6" w:space="0" w:color="000000"/>
                    <w:right w:val="single" w:sz="6" w:space="0" w:color="000000"/>
                  </w:tcBorders>
                  <w:tcMar>
                    <w:top w:w="0" w:type="dxa"/>
                    <w:left w:w="70" w:type="dxa"/>
                    <w:bottom w:w="0" w:type="dxa"/>
                    <w:right w:w="70" w:type="dxa"/>
                  </w:tcMar>
                  <w:hideMark/>
                </w:tcPr>
                <w:p w:rsidR="00C259DA" w:rsidRPr="00C259DA" w:rsidRDefault="00C259DA" w:rsidP="00C259DA">
                  <w:pPr>
                    <w:spacing w:after="40"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Administración de Servicios Tributarios alContribuyente 5, Almacén de Marbetes yPrecintos.</w:t>
                  </w:r>
                </w:p>
                <w:p w:rsidR="00C259DA" w:rsidRPr="00C259DA" w:rsidRDefault="00C259DA" w:rsidP="00C259DA">
                  <w:pPr>
                    <w:spacing w:after="40"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Calzada Legaria No. 662, Col. Irrigación,Delegación Miguel Hidalgo, C.P. 11500, Ciudad de México.</w:t>
                  </w:r>
                </w:p>
              </w:tc>
            </w:tr>
          </w:tbl>
          <w:p w:rsidR="00C259DA" w:rsidRPr="00C259DA" w:rsidRDefault="00C259DA" w:rsidP="00C259DA">
            <w:pPr>
              <w:spacing w:after="0" w:line="240" w:lineRule="auto"/>
              <w:rPr>
                <w:rFonts w:ascii="Arial" w:eastAsia="Times New Roman" w:hAnsi="Arial" w:cs="Arial"/>
                <w:vanish/>
                <w:color w:val="2F2F2F"/>
                <w:sz w:val="16"/>
                <w:szCs w:val="16"/>
                <w:lang w:eastAsia="es-ES"/>
              </w:rPr>
            </w:pPr>
          </w:p>
          <w:tbl>
            <w:tblPr>
              <w:tblW w:w="0" w:type="auto"/>
              <w:tblInd w:w="1420" w:type="dxa"/>
              <w:tblCellMar>
                <w:top w:w="15" w:type="dxa"/>
                <w:left w:w="15" w:type="dxa"/>
                <w:bottom w:w="15" w:type="dxa"/>
                <w:right w:w="15" w:type="dxa"/>
              </w:tblCellMar>
              <w:tblLook w:val="04A0"/>
            </w:tblPr>
            <w:tblGrid>
              <w:gridCol w:w="3261"/>
              <w:gridCol w:w="3959"/>
            </w:tblGrid>
            <w:tr w:rsidR="00C259DA" w:rsidRPr="00C259DA" w:rsidTr="00C259DA">
              <w:trPr>
                <w:trHeight w:val="2823"/>
              </w:trPr>
              <w:tc>
                <w:tcPr>
                  <w:tcW w:w="3261" w:type="dxa"/>
                  <w:tcBorders>
                    <w:top w:val="single" w:sz="6" w:space="0" w:color="000000"/>
                    <w:left w:val="single" w:sz="6" w:space="0" w:color="000000"/>
                    <w:bottom w:val="single" w:sz="6" w:space="0" w:color="000000"/>
                    <w:right w:val="single" w:sz="6" w:space="0" w:color="000000"/>
                  </w:tcBorders>
                  <w:tcMar>
                    <w:top w:w="0" w:type="dxa"/>
                    <w:left w:w="70" w:type="dxa"/>
                    <w:bottom w:w="0" w:type="dxa"/>
                    <w:right w:w="70" w:type="dxa"/>
                  </w:tcMar>
                  <w:hideMark/>
                </w:tcPr>
                <w:p w:rsidR="00C259DA" w:rsidRPr="00C259DA" w:rsidRDefault="00C259DA" w:rsidP="00C259DA">
                  <w:pPr>
                    <w:spacing w:after="82"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Jalisco "1"</w:t>
                  </w:r>
                </w:p>
                <w:p w:rsidR="00C259DA" w:rsidRPr="00C259DA" w:rsidRDefault="00C259DA" w:rsidP="00C259DA">
                  <w:pPr>
                    <w:spacing w:after="82"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Jalisco "2"</w:t>
                  </w:r>
                </w:p>
                <w:p w:rsidR="00C259DA" w:rsidRPr="00C259DA" w:rsidRDefault="00C259DA" w:rsidP="00C259DA">
                  <w:pPr>
                    <w:spacing w:after="82"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Jalisco "4"</w:t>
                  </w:r>
                </w:p>
                <w:p w:rsidR="00C259DA" w:rsidRPr="00C259DA" w:rsidRDefault="00C259DA" w:rsidP="00C259DA">
                  <w:pPr>
                    <w:spacing w:after="82"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Jalisco "3"</w:t>
                  </w:r>
                </w:p>
                <w:p w:rsidR="00C259DA" w:rsidRPr="00C259DA" w:rsidRDefault="00C259DA" w:rsidP="00C259DA">
                  <w:pPr>
                    <w:spacing w:after="82"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Jalisco "5"</w:t>
                  </w:r>
                </w:p>
                <w:p w:rsidR="00C259DA" w:rsidRPr="00C259DA" w:rsidRDefault="00C259DA" w:rsidP="00C259DA">
                  <w:pPr>
                    <w:spacing w:after="82"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Colima "1"</w:t>
                  </w:r>
                </w:p>
                <w:p w:rsidR="00C259DA" w:rsidRPr="00C259DA" w:rsidRDefault="00C259DA" w:rsidP="00C259DA">
                  <w:pPr>
                    <w:spacing w:after="82"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Nayarit "1"</w:t>
                  </w:r>
                </w:p>
                <w:p w:rsidR="00C259DA" w:rsidRPr="00C259DA" w:rsidRDefault="00C259DA" w:rsidP="00C259DA">
                  <w:pPr>
                    <w:spacing w:after="82"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Aguascalientes "1"</w:t>
                  </w:r>
                </w:p>
                <w:p w:rsidR="00C259DA" w:rsidRPr="00C259DA" w:rsidRDefault="00C259DA" w:rsidP="00C259DA">
                  <w:pPr>
                    <w:spacing w:after="82"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Zacatecas "1"</w:t>
                  </w:r>
                </w:p>
                <w:p w:rsidR="00C259DA" w:rsidRPr="00C259DA" w:rsidRDefault="00C259DA" w:rsidP="00C259DA">
                  <w:pPr>
                    <w:spacing w:after="82"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Guanajuato "2"</w:t>
                  </w:r>
                </w:p>
                <w:p w:rsidR="00C259DA" w:rsidRPr="00C259DA" w:rsidRDefault="00C259DA" w:rsidP="00C259DA">
                  <w:pPr>
                    <w:spacing w:after="82"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Michoacán "2"</w:t>
                  </w:r>
                </w:p>
                <w:p w:rsidR="00C259DA" w:rsidRPr="00C259DA" w:rsidRDefault="00C259DA" w:rsidP="00C259DA">
                  <w:pPr>
                    <w:spacing w:after="82"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Michoacán "1"</w:t>
                  </w:r>
                </w:p>
                <w:p w:rsidR="00C259DA" w:rsidRPr="00C259DA" w:rsidRDefault="00C259DA" w:rsidP="00C259DA">
                  <w:pPr>
                    <w:spacing w:after="82"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San Luis Potosí "1"</w:t>
                  </w:r>
                </w:p>
              </w:tc>
              <w:tc>
                <w:tcPr>
                  <w:tcW w:w="3959" w:type="dxa"/>
                  <w:tcBorders>
                    <w:top w:val="single" w:sz="6" w:space="0" w:color="000000"/>
                    <w:left w:val="single" w:sz="6" w:space="0" w:color="000000"/>
                    <w:bottom w:val="single" w:sz="6" w:space="0" w:color="000000"/>
                    <w:right w:val="single" w:sz="6" w:space="0" w:color="000000"/>
                  </w:tcBorders>
                  <w:tcMar>
                    <w:top w:w="0" w:type="dxa"/>
                    <w:left w:w="70" w:type="dxa"/>
                    <w:bottom w:w="0" w:type="dxa"/>
                    <w:right w:w="70" w:type="dxa"/>
                  </w:tcMar>
                  <w:hideMark/>
                </w:tcPr>
                <w:p w:rsidR="00C259DA" w:rsidRPr="00C259DA" w:rsidRDefault="00C259DA" w:rsidP="00C259DA">
                  <w:pPr>
                    <w:spacing w:after="82"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ADSC de Jalisco "1".</w:t>
                  </w:r>
                </w:p>
                <w:p w:rsidR="00C259DA" w:rsidRPr="00C259DA" w:rsidRDefault="00C259DA" w:rsidP="00C259DA">
                  <w:pPr>
                    <w:spacing w:after="82"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Av. De las Américas 833, P.B., entre Florencia y Colomos, Col. Jesús García, C.P.44656,Guadalajara, Jal.</w:t>
                  </w:r>
                </w:p>
              </w:tc>
            </w:tr>
          </w:tbl>
          <w:p w:rsidR="00C259DA" w:rsidRPr="00C259DA" w:rsidRDefault="00C259DA" w:rsidP="00C259DA">
            <w:pPr>
              <w:spacing w:line="240" w:lineRule="auto"/>
              <w:rPr>
                <w:rFonts w:ascii="Times New Roman" w:eastAsia="Times New Roman" w:hAnsi="Times New Roman" w:cs="Times New Roman"/>
                <w:color w:val="2F2F2F"/>
                <w:sz w:val="24"/>
                <w:szCs w:val="24"/>
                <w:lang w:eastAsia="es-ES"/>
              </w:rPr>
            </w:pPr>
            <w:r w:rsidRPr="00C259DA">
              <w:rPr>
                <w:rFonts w:ascii="Times New Roman" w:eastAsia="Times New Roman" w:hAnsi="Times New Roman" w:cs="Times New Roman"/>
                <w:color w:val="2F2F2F"/>
                <w:sz w:val="24"/>
                <w:szCs w:val="24"/>
                <w:lang w:eastAsia="es-ES"/>
              </w:rPr>
              <w:t> </w:t>
            </w:r>
          </w:p>
          <w:tbl>
            <w:tblPr>
              <w:tblW w:w="0" w:type="auto"/>
              <w:tblInd w:w="1420" w:type="dxa"/>
              <w:tblCellMar>
                <w:top w:w="15" w:type="dxa"/>
                <w:left w:w="15" w:type="dxa"/>
                <w:bottom w:w="15" w:type="dxa"/>
                <w:right w:w="15" w:type="dxa"/>
              </w:tblCellMar>
              <w:tblLook w:val="04A0"/>
            </w:tblPr>
            <w:tblGrid>
              <w:gridCol w:w="3261"/>
              <w:gridCol w:w="3959"/>
            </w:tblGrid>
            <w:tr w:rsidR="00C259DA" w:rsidRPr="00C259DA" w:rsidTr="00C259DA">
              <w:trPr>
                <w:trHeight w:val="1207"/>
              </w:trPr>
              <w:tc>
                <w:tcPr>
                  <w:tcW w:w="3261" w:type="dxa"/>
                  <w:tcBorders>
                    <w:top w:val="single" w:sz="6" w:space="0" w:color="000000"/>
                    <w:left w:val="single" w:sz="6" w:space="0" w:color="000000"/>
                    <w:bottom w:val="single" w:sz="6" w:space="0" w:color="000000"/>
                    <w:right w:val="single" w:sz="6" w:space="0" w:color="000000"/>
                  </w:tcBorders>
                  <w:tcMar>
                    <w:top w:w="0" w:type="dxa"/>
                    <w:left w:w="70" w:type="dxa"/>
                    <w:bottom w:w="0" w:type="dxa"/>
                    <w:right w:w="70" w:type="dxa"/>
                  </w:tcMar>
                  <w:hideMark/>
                </w:tcPr>
                <w:p w:rsidR="00C259DA" w:rsidRPr="00C259DA" w:rsidRDefault="00C259DA" w:rsidP="00C259DA">
                  <w:pPr>
                    <w:spacing w:after="82"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Durango "1"</w:t>
                  </w:r>
                </w:p>
                <w:p w:rsidR="00C259DA" w:rsidRPr="00C259DA" w:rsidRDefault="00C259DA" w:rsidP="00C259DA">
                  <w:pPr>
                    <w:spacing w:after="82"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Sinaloa "2"</w:t>
                  </w:r>
                </w:p>
                <w:p w:rsidR="00C259DA" w:rsidRPr="00C259DA" w:rsidRDefault="00C259DA" w:rsidP="00C259DA">
                  <w:pPr>
                    <w:spacing w:after="82"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Sinaloa "1"</w:t>
                  </w:r>
                </w:p>
                <w:p w:rsidR="00C259DA" w:rsidRPr="00C259DA" w:rsidRDefault="00C259DA" w:rsidP="00C259DA">
                  <w:pPr>
                    <w:spacing w:after="82"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Sinaloa "3"</w:t>
                  </w:r>
                </w:p>
              </w:tc>
              <w:tc>
                <w:tcPr>
                  <w:tcW w:w="3959" w:type="dxa"/>
                  <w:tcBorders>
                    <w:top w:val="single" w:sz="6" w:space="0" w:color="000000"/>
                    <w:left w:val="single" w:sz="6" w:space="0" w:color="000000"/>
                    <w:bottom w:val="single" w:sz="6" w:space="0" w:color="000000"/>
                    <w:right w:val="single" w:sz="6" w:space="0" w:color="000000"/>
                  </w:tcBorders>
                  <w:tcMar>
                    <w:top w:w="0" w:type="dxa"/>
                    <w:left w:w="70" w:type="dxa"/>
                    <w:bottom w:w="0" w:type="dxa"/>
                    <w:right w:w="70" w:type="dxa"/>
                  </w:tcMar>
                  <w:hideMark/>
                </w:tcPr>
                <w:p w:rsidR="00C259DA" w:rsidRPr="00C259DA" w:rsidRDefault="00C259DA" w:rsidP="00C259DA">
                  <w:pPr>
                    <w:spacing w:after="82"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ADSC de Durango "1".</w:t>
                  </w:r>
                </w:p>
                <w:p w:rsidR="00C259DA" w:rsidRPr="00C259DA" w:rsidRDefault="00C259DA" w:rsidP="00C259DA">
                  <w:pPr>
                    <w:spacing w:after="82"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Aquiles Serdán No. 314 Ote, Zona Centro, C.P. 34000, Durango, Dgo.</w:t>
                  </w:r>
                </w:p>
              </w:tc>
            </w:tr>
            <w:tr w:rsidR="00C259DA" w:rsidRPr="00C259DA" w:rsidTr="00C259DA">
              <w:trPr>
                <w:trHeight w:val="1244"/>
              </w:trPr>
              <w:tc>
                <w:tcPr>
                  <w:tcW w:w="3261" w:type="dxa"/>
                  <w:tcBorders>
                    <w:top w:val="single" w:sz="6" w:space="0" w:color="000000"/>
                    <w:left w:val="single" w:sz="6" w:space="0" w:color="000000"/>
                    <w:bottom w:val="single" w:sz="6" w:space="0" w:color="000000"/>
                    <w:right w:val="single" w:sz="6" w:space="0" w:color="000000"/>
                  </w:tcBorders>
                  <w:tcMar>
                    <w:top w:w="0" w:type="dxa"/>
                    <w:left w:w="70" w:type="dxa"/>
                    <w:bottom w:w="0" w:type="dxa"/>
                    <w:right w:w="70" w:type="dxa"/>
                  </w:tcMar>
                  <w:hideMark/>
                </w:tcPr>
                <w:p w:rsidR="00C259DA" w:rsidRPr="00C259DA" w:rsidRDefault="00C259DA" w:rsidP="00C259DA">
                  <w:pPr>
                    <w:spacing w:after="82"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Sonora "1"</w:t>
                  </w:r>
                </w:p>
                <w:p w:rsidR="00C259DA" w:rsidRPr="00C259DA" w:rsidRDefault="00C259DA" w:rsidP="00C259DA">
                  <w:pPr>
                    <w:spacing w:after="82"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Sonora "2"</w:t>
                  </w:r>
                </w:p>
                <w:p w:rsidR="00C259DA" w:rsidRPr="00C259DA" w:rsidRDefault="00C259DA" w:rsidP="00C259DA">
                  <w:pPr>
                    <w:spacing w:after="82"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Sonora "3"</w:t>
                  </w:r>
                </w:p>
              </w:tc>
              <w:tc>
                <w:tcPr>
                  <w:tcW w:w="3959" w:type="dxa"/>
                  <w:tcBorders>
                    <w:top w:val="single" w:sz="6" w:space="0" w:color="000000"/>
                    <w:left w:val="single" w:sz="6" w:space="0" w:color="000000"/>
                    <w:bottom w:val="single" w:sz="6" w:space="0" w:color="000000"/>
                    <w:right w:val="single" w:sz="6" w:space="0" w:color="000000"/>
                  </w:tcBorders>
                  <w:tcMar>
                    <w:top w:w="0" w:type="dxa"/>
                    <w:left w:w="70" w:type="dxa"/>
                    <w:bottom w:w="0" w:type="dxa"/>
                    <w:right w:w="70" w:type="dxa"/>
                  </w:tcMar>
                  <w:hideMark/>
                </w:tcPr>
                <w:p w:rsidR="00C259DA" w:rsidRPr="00C259DA" w:rsidRDefault="00C259DA" w:rsidP="00C259DA">
                  <w:pPr>
                    <w:spacing w:after="82"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ADSC de Sonora "1".</w:t>
                  </w:r>
                </w:p>
                <w:p w:rsidR="00C259DA" w:rsidRPr="00C259DA" w:rsidRDefault="00C259DA" w:rsidP="00C259DA">
                  <w:pPr>
                    <w:spacing w:after="82"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Centro de Gobierno, Blvd. Paseo del Río Sonora Sur, esq. con Galena, Sur P.B. edificioHermosillo, Col. Villa de Seris, C.P. 83280,Hermosillo, Sonora.</w:t>
                  </w:r>
                </w:p>
              </w:tc>
            </w:tr>
            <w:tr w:rsidR="00C259DA" w:rsidRPr="00C259DA" w:rsidTr="00C259DA">
              <w:trPr>
                <w:trHeight w:val="1028"/>
              </w:trPr>
              <w:tc>
                <w:tcPr>
                  <w:tcW w:w="3261" w:type="dxa"/>
                  <w:tcBorders>
                    <w:top w:val="single" w:sz="6" w:space="0" w:color="000000"/>
                    <w:left w:val="single" w:sz="6" w:space="0" w:color="000000"/>
                    <w:bottom w:val="single" w:sz="6" w:space="0" w:color="000000"/>
                    <w:right w:val="single" w:sz="6" w:space="0" w:color="000000"/>
                  </w:tcBorders>
                  <w:tcMar>
                    <w:top w:w="0" w:type="dxa"/>
                    <w:left w:w="70" w:type="dxa"/>
                    <w:bottom w:w="0" w:type="dxa"/>
                    <w:right w:w="70" w:type="dxa"/>
                  </w:tcMar>
                  <w:hideMark/>
                </w:tcPr>
                <w:p w:rsidR="00C259DA" w:rsidRPr="00C259DA" w:rsidRDefault="00C259DA" w:rsidP="00C259DA">
                  <w:pPr>
                    <w:spacing w:after="82"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Baja California Sur "2"</w:t>
                  </w:r>
                </w:p>
                <w:p w:rsidR="00C259DA" w:rsidRPr="00C259DA" w:rsidRDefault="00C259DA" w:rsidP="00C259DA">
                  <w:pPr>
                    <w:spacing w:after="82"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Baja California Sur "1"</w:t>
                  </w:r>
                </w:p>
              </w:tc>
              <w:tc>
                <w:tcPr>
                  <w:tcW w:w="3959" w:type="dxa"/>
                  <w:tcBorders>
                    <w:top w:val="single" w:sz="6" w:space="0" w:color="000000"/>
                    <w:left w:val="single" w:sz="6" w:space="0" w:color="000000"/>
                    <w:bottom w:val="single" w:sz="6" w:space="0" w:color="000000"/>
                    <w:right w:val="single" w:sz="6" w:space="0" w:color="000000"/>
                  </w:tcBorders>
                  <w:tcMar>
                    <w:top w:w="0" w:type="dxa"/>
                    <w:left w:w="70" w:type="dxa"/>
                    <w:bottom w:w="0" w:type="dxa"/>
                    <w:right w:w="70" w:type="dxa"/>
                  </w:tcMar>
                  <w:hideMark/>
                </w:tcPr>
                <w:p w:rsidR="00C259DA" w:rsidRPr="00C259DA" w:rsidRDefault="00C259DA" w:rsidP="00C259DA">
                  <w:pPr>
                    <w:spacing w:after="82"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ADSC Baja California Sur "2"</w:t>
                  </w:r>
                </w:p>
                <w:p w:rsidR="00C259DA" w:rsidRPr="00C259DA" w:rsidRDefault="00C259DA" w:rsidP="00C259DA">
                  <w:pPr>
                    <w:spacing w:after="82"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Miguel Hidalgo S/N, Col. Matamoros (entreAdolfo López Mateos y Camino al Faro), C.P.23468, Cabo San Lucas, Baja California Sur.</w:t>
                  </w:r>
                </w:p>
              </w:tc>
            </w:tr>
            <w:tr w:rsidR="00C259DA" w:rsidRPr="00C259DA" w:rsidTr="00C259DA">
              <w:trPr>
                <w:trHeight w:val="1028"/>
              </w:trPr>
              <w:tc>
                <w:tcPr>
                  <w:tcW w:w="3261" w:type="dxa"/>
                  <w:tcBorders>
                    <w:top w:val="single" w:sz="6" w:space="0" w:color="000000"/>
                    <w:left w:val="single" w:sz="6" w:space="0" w:color="000000"/>
                    <w:bottom w:val="single" w:sz="6" w:space="0" w:color="000000"/>
                    <w:right w:val="single" w:sz="6" w:space="0" w:color="000000"/>
                  </w:tcBorders>
                  <w:tcMar>
                    <w:top w:w="0" w:type="dxa"/>
                    <w:left w:w="70" w:type="dxa"/>
                    <w:bottom w:w="0" w:type="dxa"/>
                    <w:right w:w="70" w:type="dxa"/>
                  </w:tcMar>
                  <w:hideMark/>
                </w:tcPr>
                <w:p w:rsidR="00C259DA" w:rsidRPr="00C259DA" w:rsidRDefault="00C259DA" w:rsidP="00C259DA">
                  <w:pPr>
                    <w:spacing w:after="82"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lastRenderedPageBreak/>
                    <w:t>Baja California "2"</w:t>
                  </w:r>
                </w:p>
                <w:p w:rsidR="00C259DA" w:rsidRPr="00C259DA" w:rsidRDefault="00C259DA" w:rsidP="00C259DA">
                  <w:pPr>
                    <w:spacing w:after="82"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Baja California "1"</w:t>
                  </w:r>
                </w:p>
              </w:tc>
              <w:tc>
                <w:tcPr>
                  <w:tcW w:w="3959" w:type="dxa"/>
                  <w:tcBorders>
                    <w:top w:val="single" w:sz="6" w:space="0" w:color="000000"/>
                    <w:left w:val="single" w:sz="6" w:space="0" w:color="000000"/>
                    <w:bottom w:val="single" w:sz="6" w:space="0" w:color="000000"/>
                    <w:right w:val="single" w:sz="6" w:space="0" w:color="000000"/>
                  </w:tcBorders>
                  <w:tcMar>
                    <w:top w:w="0" w:type="dxa"/>
                    <w:left w:w="70" w:type="dxa"/>
                    <w:bottom w:w="0" w:type="dxa"/>
                    <w:right w:w="70" w:type="dxa"/>
                  </w:tcMar>
                  <w:hideMark/>
                </w:tcPr>
                <w:p w:rsidR="00C259DA" w:rsidRPr="00C259DA" w:rsidRDefault="00C259DA" w:rsidP="00C259DA">
                  <w:pPr>
                    <w:spacing w:after="82"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ADSC de Baja California "2".</w:t>
                  </w:r>
                </w:p>
                <w:p w:rsidR="00C259DA" w:rsidRPr="00C259DA" w:rsidRDefault="00C259DA" w:rsidP="00C259DA">
                  <w:pPr>
                    <w:spacing w:after="82"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Fuerza Aérea Mexicana s/n, Col. Centro-Urbano 70-76, C.P. 22410, Tijuana, Baja California.</w:t>
                  </w:r>
                </w:p>
              </w:tc>
            </w:tr>
            <w:tr w:rsidR="00C259DA" w:rsidRPr="00C259DA" w:rsidTr="00C259DA">
              <w:trPr>
                <w:trHeight w:val="1019"/>
              </w:trPr>
              <w:tc>
                <w:tcPr>
                  <w:tcW w:w="3261" w:type="dxa"/>
                  <w:tcBorders>
                    <w:top w:val="single" w:sz="6" w:space="0" w:color="000000"/>
                    <w:left w:val="single" w:sz="6" w:space="0" w:color="000000"/>
                    <w:bottom w:val="single" w:sz="6" w:space="0" w:color="000000"/>
                    <w:right w:val="single" w:sz="6" w:space="0" w:color="000000"/>
                  </w:tcBorders>
                  <w:tcMar>
                    <w:top w:w="0" w:type="dxa"/>
                    <w:left w:w="70" w:type="dxa"/>
                    <w:bottom w:w="0" w:type="dxa"/>
                    <w:right w:w="70" w:type="dxa"/>
                  </w:tcMar>
                  <w:hideMark/>
                </w:tcPr>
                <w:p w:rsidR="00C259DA" w:rsidRPr="00C259DA" w:rsidRDefault="00C259DA" w:rsidP="00C259DA">
                  <w:pPr>
                    <w:spacing w:after="70"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Baja California "3"</w:t>
                  </w:r>
                </w:p>
              </w:tc>
              <w:tc>
                <w:tcPr>
                  <w:tcW w:w="3959" w:type="dxa"/>
                  <w:tcBorders>
                    <w:top w:val="single" w:sz="6" w:space="0" w:color="000000"/>
                    <w:left w:val="single" w:sz="6" w:space="0" w:color="000000"/>
                    <w:bottom w:val="single" w:sz="6" w:space="0" w:color="000000"/>
                    <w:right w:val="single" w:sz="6" w:space="0" w:color="000000"/>
                  </w:tcBorders>
                  <w:tcMar>
                    <w:top w:w="0" w:type="dxa"/>
                    <w:left w:w="70" w:type="dxa"/>
                    <w:bottom w:w="0" w:type="dxa"/>
                    <w:right w:w="70" w:type="dxa"/>
                  </w:tcMar>
                  <w:hideMark/>
                </w:tcPr>
                <w:p w:rsidR="00C259DA" w:rsidRPr="00C259DA" w:rsidRDefault="00C259DA" w:rsidP="00C259DA">
                  <w:pPr>
                    <w:spacing w:after="70"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ADSC de Baja California "3".</w:t>
                  </w:r>
                </w:p>
                <w:p w:rsidR="00C259DA" w:rsidRPr="00C259DA" w:rsidRDefault="00C259DA" w:rsidP="00C259DA">
                  <w:pPr>
                    <w:spacing w:after="70"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Av. López Mateos núm. 1306, local 18, edif.PRONAF, entre Av. Espinoza y Mar, Col. Centro, 22800, Ensenada Baja California.</w:t>
                  </w:r>
                </w:p>
              </w:tc>
            </w:tr>
          </w:tbl>
          <w:p w:rsidR="00C259DA" w:rsidRPr="00C259DA" w:rsidRDefault="00C259DA" w:rsidP="00C259DA">
            <w:pPr>
              <w:spacing w:line="240" w:lineRule="auto"/>
              <w:rPr>
                <w:rFonts w:ascii="Times New Roman" w:eastAsia="Times New Roman" w:hAnsi="Times New Roman" w:cs="Times New Roman"/>
                <w:color w:val="2F2F2F"/>
                <w:sz w:val="24"/>
                <w:szCs w:val="24"/>
                <w:lang w:eastAsia="es-ES"/>
              </w:rPr>
            </w:pPr>
            <w:r w:rsidRPr="00C259DA">
              <w:rPr>
                <w:rFonts w:ascii="Times New Roman" w:eastAsia="Times New Roman" w:hAnsi="Times New Roman" w:cs="Times New Roman"/>
                <w:color w:val="2F2F2F"/>
                <w:sz w:val="24"/>
                <w:szCs w:val="24"/>
                <w:lang w:eastAsia="es-ES"/>
              </w:rPr>
              <w:t> </w:t>
            </w:r>
          </w:p>
          <w:tbl>
            <w:tblPr>
              <w:tblW w:w="0" w:type="auto"/>
              <w:tblInd w:w="1420" w:type="dxa"/>
              <w:tblCellMar>
                <w:top w:w="15" w:type="dxa"/>
                <w:left w:w="15" w:type="dxa"/>
                <w:bottom w:w="15" w:type="dxa"/>
                <w:right w:w="15" w:type="dxa"/>
              </w:tblCellMar>
              <w:tblLook w:val="04A0"/>
            </w:tblPr>
            <w:tblGrid>
              <w:gridCol w:w="3261"/>
              <w:gridCol w:w="3959"/>
            </w:tblGrid>
            <w:tr w:rsidR="00C259DA" w:rsidRPr="00C259DA" w:rsidTr="00C259DA">
              <w:trPr>
                <w:trHeight w:val="1019"/>
              </w:trPr>
              <w:tc>
                <w:tcPr>
                  <w:tcW w:w="3261" w:type="dxa"/>
                  <w:tcBorders>
                    <w:top w:val="single" w:sz="6" w:space="0" w:color="000000"/>
                    <w:left w:val="single" w:sz="6" w:space="0" w:color="000000"/>
                    <w:bottom w:val="single" w:sz="6" w:space="0" w:color="000000"/>
                    <w:right w:val="single" w:sz="6" w:space="0" w:color="000000"/>
                  </w:tcBorders>
                  <w:tcMar>
                    <w:top w:w="0" w:type="dxa"/>
                    <w:left w:w="70" w:type="dxa"/>
                    <w:bottom w:w="0" w:type="dxa"/>
                    <w:right w:w="70" w:type="dxa"/>
                  </w:tcMar>
                  <w:hideMark/>
                </w:tcPr>
                <w:p w:rsidR="00C259DA" w:rsidRPr="00C259DA" w:rsidRDefault="00C259DA" w:rsidP="00C259DA">
                  <w:pPr>
                    <w:spacing w:after="70"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Chihuahua "1"</w:t>
                  </w:r>
                </w:p>
                <w:p w:rsidR="00C259DA" w:rsidRPr="00C259DA" w:rsidRDefault="00C259DA" w:rsidP="00C259DA">
                  <w:pPr>
                    <w:spacing w:after="70"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Coahuila de Zaragoza "2"</w:t>
                  </w:r>
                </w:p>
                <w:p w:rsidR="00C259DA" w:rsidRPr="00C259DA" w:rsidRDefault="00C259DA" w:rsidP="00C259DA">
                  <w:pPr>
                    <w:spacing w:after="70"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Chihuahua "2"</w:t>
                  </w:r>
                </w:p>
              </w:tc>
              <w:tc>
                <w:tcPr>
                  <w:tcW w:w="3959" w:type="dxa"/>
                  <w:tcBorders>
                    <w:top w:val="single" w:sz="6" w:space="0" w:color="000000"/>
                    <w:left w:val="single" w:sz="6" w:space="0" w:color="000000"/>
                    <w:bottom w:val="single" w:sz="6" w:space="0" w:color="000000"/>
                    <w:right w:val="single" w:sz="6" w:space="0" w:color="000000"/>
                  </w:tcBorders>
                  <w:tcMar>
                    <w:top w:w="0" w:type="dxa"/>
                    <w:left w:w="70" w:type="dxa"/>
                    <w:bottom w:w="0" w:type="dxa"/>
                    <w:right w:w="70" w:type="dxa"/>
                  </w:tcMar>
                  <w:hideMark/>
                </w:tcPr>
                <w:p w:rsidR="00C259DA" w:rsidRPr="00C259DA" w:rsidRDefault="00C259DA" w:rsidP="00C259DA">
                  <w:pPr>
                    <w:spacing w:after="70"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ADSC de Chihuahua "1".</w:t>
                  </w:r>
                </w:p>
                <w:p w:rsidR="00C259DA" w:rsidRPr="00C259DA" w:rsidRDefault="00C259DA" w:rsidP="00C259DA">
                  <w:pPr>
                    <w:spacing w:after="70"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Calle Cosmos Número 4334. Esq. con Calle Pino Col. Satélite, C.P. 31104. Chihuahua, Chih.</w:t>
                  </w:r>
                </w:p>
              </w:tc>
            </w:tr>
            <w:tr w:rsidR="00C259DA" w:rsidRPr="00C259DA" w:rsidTr="00C259DA">
              <w:trPr>
                <w:trHeight w:val="2860"/>
              </w:trPr>
              <w:tc>
                <w:tcPr>
                  <w:tcW w:w="3261" w:type="dxa"/>
                  <w:tcBorders>
                    <w:top w:val="single" w:sz="6" w:space="0" w:color="000000"/>
                    <w:left w:val="single" w:sz="6" w:space="0" w:color="000000"/>
                    <w:bottom w:val="single" w:sz="6" w:space="0" w:color="000000"/>
                    <w:right w:val="single" w:sz="6" w:space="0" w:color="000000"/>
                  </w:tcBorders>
                  <w:tcMar>
                    <w:top w:w="0" w:type="dxa"/>
                    <w:left w:w="70" w:type="dxa"/>
                    <w:bottom w:w="0" w:type="dxa"/>
                    <w:right w:w="70" w:type="dxa"/>
                  </w:tcMar>
                  <w:hideMark/>
                </w:tcPr>
                <w:p w:rsidR="00C259DA" w:rsidRPr="00C259DA" w:rsidRDefault="00C259DA" w:rsidP="00C259DA">
                  <w:pPr>
                    <w:spacing w:after="70"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Nuevo León "1"</w:t>
                  </w:r>
                </w:p>
                <w:p w:rsidR="00C259DA" w:rsidRPr="00C259DA" w:rsidRDefault="00C259DA" w:rsidP="00C259DA">
                  <w:pPr>
                    <w:spacing w:after="70"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Nuevo León "3"</w:t>
                  </w:r>
                </w:p>
                <w:p w:rsidR="00C259DA" w:rsidRPr="00C259DA" w:rsidRDefault="00C259DA" w:rsidP="00C259DA">
                  <w:pPr>
                    <w:spacing w:after="70"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Coahuila de Zaragoza "1"</w:t>
                  </w:r>
                </w:p>
                <w:p w:rsidR="00C259DA" w:rsidRPr="00C259DA" w:rsidRDefault="00C259DA" w:rsidP="00C259DA">
                  <w:pPr>
                    <w:spacing w:after="70"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Tamaulipas "3"</w:t>
                  </w:r>
                </w:p>
                <w:p w:rsidR="00C259DA" w:rsidRPr="00C259DA" w:rsidRDefault="00C259DA" w:rsidP="00C259DA">
                  <w:pPr>
                    <w:spacing w:after="70"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Tamaulipas "4"</w:t>
                  </w:r>
                </w:p>
                <w:p w:rsidR="00C259DA" w:rsidRPr="00C259DA" w:rsidRDefault="00C259DA" w:rsidP="00C259DA">
                  <w:pPr>
                    <w:spacing w:after="70"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Nuevo León "2"</w:t>
                  </w:r>
                </w:p>
                <w:p w:rsidR="00C259DA" w:rsidRPr="00C259DA" w:rsidRDefault="00C259DA" w:rsidP="00C259DA">
                  <w:pPr>
                    <w:spacing w:after="70"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Tamaulipas "2"</w:t>
                  </w:r>
                </w:p>
                <w:p w:rsidR="00C259DA" w:rsidRPr="00C259DA" w:rsidRDefault="00C259DA" w:rsidP="00C259DA">
                  <w:pPr>
                    <w:spacing w:after="70"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Coahuila de Zaragoza "3"</w:t>
                  </w:r>
                </w:p>
                <w:p w:rsidR="00C259DA" w:rsidRPr="00C259DA" w:rsidRDefault="00C259DA" w:rsidP="00C259DA">
                  <w:pPr>
                    <w:spacing w:after="70"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Tamaulipas "5"</w:t>
                  </w:r>
                </w:p>
                <w:p w:rsidR="00C259DA" w:rsidRPr="00C259DA" w:rsidRDefault="00C259DA" w:rsidP="00C259DA">
                  <w:pPr>
                    <w:spacing w:after="70"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Tamaulipas "1"</w:t>
                  </w:r>
                </w:p>
              </w:tc>
              <w:tc>
                <w:tcPr>
                  <w:tcW w:w="3959" w:type="dxa"/>
                  <w:tcBorders>
                    <w:top w:val="single" w:sz="6" w:space="0" w:color="000000"/>
                    <w:left w:val="single" w:sz="6" w:space="0" w:color="000000"/>
                    <w:bottom w:val="single" w:sz="6" w:space="0" w:color="000000"/>
                    <w:right w:val="single" w:sz="6" w:space="0" w:color="000000"/>
                  </w:tcBorders>
                  <w:tcMar>
                    <w:top w:w="0" w:type="dxa"/>
                    <w:left w:w="70" w:type="dxa"/>
                    <w:bottom w:w="0" w:type="dxa"/>
                    <w:right w:w="70" w:type="dxa"/>
                  </w:tcMar>
                  <w:hideMark/>
                </w:tcPr>
                <w:p w:rsidR="00C259DA" w:rsidRPr="00C259DA" w:rsidRDefault="00C259DA" w:rsidP="00C259DA">
                  <w:pPr>
                    <w:spacing w:after="70"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ADSC de Nuevo León "1".</w:t>
                  </w:r>
                </w:p>
                <w:p w:rsidR="00C259DA" w:rsidRPr="00C259DA" w:rsidRDefault="00C259DA" w:rsidP="00C259DA">
                  <w:pPr>
                    <w:spacing w:after="70"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Pino Suárez núm. 790 sur, Esq. Padre Mier, Col. Centro, C.P. 64000, Monterrey, Nuevo León.</w:t>
                  </w:r>
                </w:p>
              </w:tc>
            </w:tr>
            <w:tr w:rsidR="00C259DA" w:rsidRPr="00C259DA" w:rsidTr="00C259DA">
              <w:trPr>
                <w:trHeight w:val="1118"/>
              </w:trPr>
              <w:tc>
                <w:tcPr>
                  <w:tcW w:w="3261" w:type="dxa"/>
                  <w:tcBorders>
                    <w:top w:val="single" w:sz="6" w:space="0" w:color="000000"/>
                    <w:left w:val="single" w:sz="6" w:space="0" w:color="000000"/>
                    <w:bottom w:val="single" w:sz="6" w:space="0" w:color="000000"/>
                    <w:right w:val="single" w:sz="6" w:space="0" w:color="000000"/>
                  </w:tcBorders>
                  <w:tcMar>
                    <w:top w:w="0" w:type="dxa"/>
                    <w:left w:w="70" w:type="dxa"/>
                    <w:bottom w:w="0" w:type="dxa"/>
                    <w:right w:w="70" w:type="dxa"/>
                  </w:tcMar>
                  <w:hideMark/>
                </w:tcPr>
                <w:p w:rsidR="00C259DA" w:rsidRPr="00C259DA" w:rsidRDefault="00C259DA" w:rsidP="00C259DA">
                  <w:pPr>
                    <w:spacing w:after="70"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Yucatán "1"</w:t>
                  </w:r>
                </w:p>
                <w:p w:rsidR="00C259DA" w:rsidRPr="00C259DA" w:rsidRDefault="00C259DA" w:rsidP="00C259DA">
                  <w:pPr>
                    <w:spacing w:after="70"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Quintana Roo "2"</w:t>
                  </w:r>
                </w:p>
                <w:p w:rsidR="00C259DA" w:rsidRPr="00C259DA" w:rsidRDefault="00C259DA" w:rsidP="00C259DA">
                  <w:pPr>
                    <w:spacing w:after="70"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Campeche "1"</w:t>
                  </w:r>
                </w:p>
                <w:p w:rsidR="00C259DA" w:rsidRPr="00C259DA" w:rsidRDefault="00C259DA" w:rsidP="00C259DA">
                  <w:pPr>
                    <w:spacing w:after="70"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Quintana Roo "1"</w:t>
                  </w:r>
                </w:p>
              </w:tc>
              <w:tc>
                <w:tcPr>
                  <w:tcW w:w="3959" w:type="dxa"/>
                  <w:tcBorders>
                    <w:top w:val="single" w:sz="6" w:space="0" w:color="000000"/>
                    <w:left w:val="single" w:sz="6" w:space="0" w:color="000000"/>
                    <w:bottom w:val="single" w:sz="6" w:space="0" w:color="000000"/>
                    <w:right w:val="single" w:sz="6" w:space="0" w:color="000000"/>
                  </w:tcBorders>
                  <w:tcMar>
                    <w:top w:w="0" w:type="dxa"/>
                    <w:left w:w="70" w:type="dxa"/>
                    <w:bottom w:w="0" w:type="dxa"/>
                    <w:right w:w="70" w:type="dxa"/>
                  </w:tcMar>
                  <w:hideMark/>
                </w:tcPr>
                <w:p w:rsidR="00C259DA" w:rsidRPr="00C259DA" w:rsidRDefault="00C259DA" w:rsidP="00C259DA">
                  <w:pPr>
                    <w:spacing w:after="70"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ADSC de Yucatán "1".</w:t>
                  </w:r>
                </w:p>
                <w:p w:rsidR="00C259DA" w:rsidRPr="00C259DA" w:rsidRDefault="00C259DA" w:rsidP="00C259DA">
                  <w:pPr>
                    <w:spacing w:after="70"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Calle 8 No. 317, entre 1 X 1B, Col. GonzaloGuerrero, C.P. 97118, Mérida, Yucatán.</w:t>
                  </w:r>
                </w:p>
              </w:tc>
            </w:tr>
          </w:tbl>
          <w:p w:rsidR="00C259DA" w:rsidRPr="00C259DA" w:rsidRDefault="00C259DA" w:rsidP="00C259DA">
            <w:pPr>
              <w:spacing w:after="0" w:line="240" w:lineRule="auto"/>
              <w:rPr>
                <w:rFonts w:ascii="Arial" w:eastAsia="Times New Roman" w:hAnsi="Arial" w:cs="Arial"/>
                <w:vanish/>
                <w:color w:val="2F2F2F"/>
                <w:sz w:val="16"/>
                <w:szCs w:val="16"/>
                <w:lang w:eastAsia="es-ES"/>
              </w:rPr>
            </w:pPr>
          </w:p>
          <w:tbl>
            <w:tblPr>
              <w:tblW w:w="0" w:type="auto"/>
              <w:tblInd w:w="1420" w:type="dxa"/>
              <w:tblCellMar>
                <w:top w:w="15" w:type="dxa"/>
                <w:left w:w="15" w:type="dxa"/>
                <w:bottom w:w="15" w:type="dxa"/>
                <w:right w:w="15" w:type="dxa"/>
              </w:tblCellMar>
              <w:tblLook w:val="04A0"/>
            </w:tblPr>
            <w:tblGrid>
              <w:gridCol w:w="3261"/>
              <w:gridCol w:w="3959"/>
            </w:tblGrid>
            <w:tr w:rsidR="00C259DA" w:rsidRPr="00C259DA" w:rsidTr="00C259DA">
              <w:trPr>
                <w:trHeight w:val="1220"/>
              </w:trPr>
              <w:tc>
                <w:tcPr>
                  <w:tcW w:w="3261" w:type="dxa"/>
                  <w:tcBorders>
                    <w:top w:val="single" w:sz="6" w:space="0" w:color="000000"/>
                    <w:left w:val="single" w:sz="6" w:space="0" w:color="000000"/>
                    <w:bottom w:val="single" w:sz="6" w:space="0" w:color="000000"/>
                    <w:right w:val="single" w:sz="6" w:space="0" w:color="000000"/>
                  </w:tcBorders>
                  <w:tcMar>
                    <w:top w:w="0" w:type="dxa"/>
                    <w:left w:w="70" w:type="dxa"/>
                    <w:bottom w:w="0" w:type="dxa"/>
                    <w:right w:w="70" w:type="dxa"/>
                  </w:tcMar>
                  <w:hideMark/>
                </w:tcPr>
                <w:p w:rsidR="00C259DA" w:rsidRPr="00C259DA" w:rsidRDefault="00C259DA" w:rsidP="00C259DA">
                  <w:pPr>
                    <w:spacing w:after="70"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Veracruz "3"</w:t>
                  </w:r>
                </w:p>
                <w:p w:rsidR="00C259DA" w:rsidRPr="00C259DA" w:rsidRDefault="00C259DA" w:rsidP="00C259DA">
                  <w:pPr>
                    <w:spacing w:after="70"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Veracruz "2"</w:t>
                  </w:r>
                </w:p>
                <w:p w:rsidR="00C259DA" w:rsidRPr="00C259DA" w:rsidRDefault="00C259DA" w:rsidP="00C259DA">
                  <w:pPr>
                    <w:spacing w:after="70"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Veracruz "4"</w:t>
                  </w:r>
                </w:p>
                <w:p w:rsidR="00C259DA" w:rsidRPr="00C259DA" w:rsidRDefault="00C259DA" w:rsidP="00C259DA">
                  <w:pPr>
                    <w:spacing w:after="70"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Veracruz "1"</w:t>
                  </w:r>
                </w:p>
                <w:p w:rsidR="00C259DA" w:rsidRPr="00C259DA" w:rsidRDefault="00C259DA" w:rsidP="00C259DA">
                  <w:pPr>
                    <w:spacing w:after="70"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Veracruz "5"</w:t>
                  </w:r>
                </w:p>
              </w:tc>
              <w:tc>
                <w:tcPr>
                  <w:tcW w:w="3959" w:type="dxa"/>
                  <w:tcBorders>
                    <w:top w:val="single" w:sz="6" w:space="0" w:color="000000"/>
                    <w:left w:val="single" w:sz="6" w:space="0" w:color="000000"/>
                    <w:bottom w:val="single" w:sz="6" w:space="0" w:color="000000"/>
                    <w:right w:val="single" w:sz="6" w:space="0" w:color="000000"/>
                  </w:tcBorders>
                  <w:tcMar>
                    <w:top w:w="0" w:type="dxa"/>
                    <w:left w:w="70" w:type="dxa"/>
                    <w:bottom w:w="0" w:type="dxa"/>
                    <w:right w:w="70" w:type="dxa"/>
                  </w:tcMar>
                  <w:hideMark/>
                </w:tcPr>
                <w:p w:rsidR="00C259DA" w:rsidRPr="00C259DA" w:rsidRDefault="00C259DA" w:rsidP="00C259DA">
                  <w:pPr>
                    <w:spacing w:after="70"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ADSC de Veracruz "2".</w:t>
                  </w:r>
                </w:p>
                <w:p w:rsidR="00C259DA" w:rsidRPr="00C259DA" w:rsidRDefault="00C259DA" w:rsidP="00C259DA">
                  <w:pPr>
                    <w:spacing w:after="70"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Paseo de la Niña No. 150, entre Avenida de losReyes Católicos y Avenida Marigalante, Col.Fraccionamiento de las Américas, C.P. 94298,Boca del Río, Veracruz.</w:t>
                  </w:r>
                </w:p>
              </w:tc>
            </w:tr>
            <w:tr w:rsidR="00C259DA" w:rsidRPr="00C259DA" w:rsidTr="00C259DA">
              <w:trPr>
                <w:trHeight w:val="1159"/>
              </w:trPr>
              <w:tc>
                <w:tcPr>
                  <w:tcW w:w="3261" w:type="dxa"/>
                  <w:tcBorders>
                    <w:top w:val="single" w:sz="6" w:space="0" w:color="000000"/>
                    <w:left w:val="single" w:sz="6" w:space="0" w:color="000000"/>
                    <w:bottom w:val="single" w:sz="6" w:space="0" w:color="000000"/>
                    <w:right w:val="single" w:sz="6" w:space="0" w:color="000000"/>
                  </w:tcBorders>
                  <w:tcMar>
                    <w:top w:w="0" w:type="dxa"/>
                    <w:left w:w="70" w:type="dxa"/>
                    <w:bottom w:w="0" w:type="dxa"/>
                    <w:right w:w="70" w:type="dxa"/>
                  </w:tcMar>
                  <w:hideMark/>
                </w:tcPr>
                <w:p w:rsidR="00C259DA" w:rsidRPr="00C259DA" w:rsidRDefault="00C259DA" w:rsidP="00C259DA">
                  <w:pPr>
                    <w:spacing w:after="70"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Chiapas "2"</w:t>
                  </w:r>
                </w:p>
                <w:p w:rsidR="00C259DA" w:rsidRPr="00C259DA" w:rsidRDefault="00C259DA" w:rsidP="00C259DA">
                  <w:pPr>
                    <w:spacing w:after="70"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Oaxaca "1"</w:t>
                  </w:r>
                </w:p>
                <w:p w:rsidR="00C259DA" w:rsidRPr="00C259DA" w:rsidRDefault="00C259DA" w:rsidP="00C259DA">
                  <w:pPr>
                    <w:spacing w:after="70"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Chiapas "1"</w:t>
                  </w:r>
                </w:p>
                <w:p w:rsidR="00C259DA" w:rsidRPr="00C259DA" w:rsidRDefault="00C259DA" w:rsidP="00C259DA">
                  <w:pPr>
                    <w:spacing w:after="70"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Tabasco "1"</w:t>
                  </w:r>
                </w:p>
              </w:tc>
              <w:tc>
                <w:tcPr>
                  <w:tcW w:w="3959" w:type="dxa"/>
                  <w:tcBorders>
                    <w:top w:val="single" w:sz="6" w:space="0" w:color="000000"/>
                    <w:left w:val="single" w:sz="6" w:space="0" w:color="000000"/>
                    <w:bottom w:val="single" w:sz="6" w:space="0" w:color="000000"/>
                    <w:right w:val="single" w:sz="6" w:space="0" w:color="000000"/>
                  </w:tcBorders>
                  <w:tcMar>
                    <w:top w:w="0" w:type="dxa"/>
                    <w:left w:w="70" w:type="dxa"/>
                    <w:bottom w:w="0" w:type="dxa"/>
                    <w:right w:w="70" w:type="dxa"/>
                  </w:tcMar>
                  <w:hideMark/>
                </w:tcPr>
                <w:p w:rsidR="00C259DA" w:rsidRPr="00C259DA" w:rsidRDefault="00C259DA" w:rsidP="00C259DA">
                  <w:pPr>
                    <w:spacing w:after="70"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ADSC de Oaxaca "1"</w:t>
                  </w:r>
                </w:p>
                <w:p w:rsidR="00C259DA" w:rsidRPr="00C259DA" w:rsidRDefault="00C259DA" w:rsidP="00C259DA">
                  <w:pPr>
                    <w:spacing w:after="70"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Manuel García Vigil</w:t>
                  </w:r>
                </w:p>
                <w:p w:rsidR="00C259DA" w:rsidRPr="00C259DA" w:rsidRDefault="00C259DA" w:rsidP="00C259DA">
                  <w:pPr>
                    <w:spacing w:after="70" w:line="240" w:lineRule="auto"/>
                    <w:jc w:val="both"/>
                    <w:rPr>
                      <w:rFonts w:ascii="Times New Roman" w:eastAsia="Times New Roman" w:hAnsi="Times New Roman" w:cs="Times New Roman"/>
                      <w:color w:val="000000"/>
                      <w:sz w:val="18"/>
                      <w:szCs w:val="18"/>
                      <w:lang w:eastAsia="es-ES"/>
                    </w:rPr>
                  </w:pPr>
                  <w:r w:rsidRPr="00C259DA">
                    <w:rPr>
                      <w:rFonts w:ascii="Arial" w:eastAsia="Times New Roman" w:hAnsi="Arial" w:cs="Arial"/>
                      <w:color w:val="000000"/>
                      <w:sz w:val="18"/>
                      <w:szCs w:val="18"/>
                      <w:lang w:eastAsia="es-ES"/>
                    </w:rPr>
                    <w:t>709, P. B. Col. Centro, C.P. 68000, Oaxaca,Oaxaca.</w:t>
                  </w:r>
                </w:p>
              </w:tc>
            </w:tr>
          </w:tbl>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18"/>
                <w:szCs w:val="18"/>
                <w:lang w:eastAsia="es-ES"/>
              </w:rPr>
              <w:t> </w:t>
            </w:r>
          </w:p>
          <w:p w:rsidR="00C259DA" w:rsidRPr="00C259DA" w:rsidRDefault="00C259DA" w:rsidP="00C259DA">
            <w:pPr>
              <w:spacing w:after="64"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Quienes de acuerdo con lo anterior deban recoger los marbetes o precintos que les fueron autorizados en alguna de las 10 ADSC autorizadas señaladas anteriormente, podrán optar, por recogerlos en el Almacén de Marbetes y Precintos en la Ciudad de México, cuando así lo señalen en el sistema; o bien, en caso de que no hayan señalado dicha opción y deseen recogerlos en el Almacén de Marbetes y Precintos deberán presentar un aviso en el Portal del SAT o en la Administración Central de Servicios Tributarios al Contribuyente, ubicada en Av. Hidalgo Núm. 77, planta baja, Col Guerrero, Delegación Cuauhtémoc, CP 06300, Ciudad de México, en el que manifiesten su intención y los motivos de la misma. La autoridad fiscal podrá autorizar dentro de los tres días posteriores la petición del contribuyente, lo cual se comunicará a través del mismo medio.</w:t>
            </w:r>
          </w:p>
          <w:p w:rsidR="00C259DA" w:rsidRPr="00C259DA" w:rsidRDefault="00C259DA" w:rsidP="00C259DA">
            <w:pPr>
              <w:spacing w:after="64"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Tratándose de bebidas alcohólicas de importación, las cuales se encuentren en Almacén General de Depósito, la autoridad fiscal proporcionará al contribuyente el número de marbetes igual al de los envases que se encuentren en el Almacén General de Depósito. Cuando se hayan pagado derechos por un número mayor de marbetes, se podrá solicitar la devolución por el monto de la diferencia.</w:t>
            </w:r>
          </w:p>
          <w:p w:rsidR="00C259DA" w:rsidRPr="00C259DA" w:rsidRDefault="00C259DA" w:rsidP="00C259DA">
            <w:pPr>
              <w:spacing w:after="64"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Para solicitar información relacionada con su trámite de solicitud de marbetes o precintos, deberá presentar un caso de orientación en el Portal del SAT.</w:t>
            </w:r>
          </w:p>
          <w:p w:rsidR="00C259DA" w:rsidRPr="00C259DA" w:rsidRDefault="00C259DA" w:rsidP="00C259DA">
            <w:pPr>
              <w:spacing w:after="64"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eastAsia="es-ES"/>
              </w:rPr>
              <w:t>LIEPS 19, RMF 2018 5.3.1.</w:t>
            </w:r>
          </w:p>
          <w:p w:rsidR="00C259DA" w:rsidRPr="00C259DA" w:rsidRDefault="00C259DA" w:rsidP="00C259DA">
            <w:pPr>
              <w:spacing w:after="64"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b/>
                <w:bCs/>
                <w:color w:val="2F2F2F"/>
                <w:sz w:val="18"/>
                <w:szCs w:val="18"/>
                <w:lang w:eastAsia="es-ES"/>
              </w:rPr>
              <w:t>Características del código de seguridad</w:t>
            </w:r>
          </w:p>
          <w:p w:rsidR="00C259DA" w:rsidRPr="00C259DA" w:rsidRDefault="00C259DA" w:rsidP="00C259DA">
            <w:pPr>
              <w:spacing w:after="64"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5.2.31.</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Para los efectos del artículo 19, fracción XXII, inciso e) de la Ley del IEPS, los códigos de seguridad que se impriman en las cajetillas de cigarros, deberán contener las siguientes características:</w:t>
            </w:r>
          </w:p>
          <w:p w:rsidR="00C259DA" w:rsidRPr="00C259DA" w:rsidRDefault="00C259DA" w:rsidP="00C259DA">
            <w:pPr>
              <w:spacing w:after="64"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Ser aleatorio y estar encriptado.</w:t>
            </w:r>
          </w:p>
          <w:p w:rsidR="00C259DA" w:rsidRPr="00C259DA" w:rsidRDefault="00C259DA" w:rsidP="00C259DA">
            <w:pPr>
              <w:spacing w:after="64"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lastRenderedPageBreak/>
              <w:t>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Estar representado gráficamente por un código de puntos (DotCode), para que se pueda leer por dispositivos móviles.</w:t>
            </w:r>
          </w:p>
          <w:p w:rsidR="00C259DA" w:rsidRPr="00C259DA" w:rsidRDefault="00C259DA" w:rsidP="00C259DA">
            <w:pPr>
              <w:spacing w:after="64"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Contar con la siguiente información visible al usuario para autentificar los productos:</w:t>
            </w:r>
          </w:p>
          <w:p w:rsidR="00C259DA" w:rsidRPr="00C259DA" w:rsidRDefault="00C259DA" w:rsidP="00C259DA">
            <w:pPr>
              <w:spacing w:after="64"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a)</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Folio aleatorio de seguridad;</w:t>
            </w:r>
          </w:p>
          <w:p w:rsidR="00C259DA" w:rsidRPr="00C259DA" w:rsidRDefault="00C259DA" w:rsidP="00C259DA">
            <w:pPr>
              <w:spacing w:after="64"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b)</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Lugar y línea de producción;</w:t>
            </w:r>
          </w:p>
          <w:p w:rsidR="00C259DA" w:rsidRPr="00C259DA" w:rsidRDefault="00C259DA" w:rsidP="00C259DA">
            <w:pPr>
              <w:spacing w:after="64"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c)</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Máquina de fabricación;</w:t>
            </w:r>
          </w:p>
          <w:p w:rsidR="00C259DA" w:rsidRPr="00C259DA" w:rsidRDefault="00C259DA" w:rsidP="00C259DA">
            <w:pPr>
              <w:spacing w:after="64"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d)</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Fecha, hora y lugar de manufactura;</w:t>
            </w:r>
          </w:p>
          <w:p w:rsidR="00C259DA" w:rsidRPr="00C259DA" w:rsidRDefault="00C259DA" w:rsidP="00C259DA">
            <w:pPr>
              <w:spacing w:after="64"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e)</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Marca y características comerciales;</w:t>
            </w:r>
          </w:p>
          <w:p w:rsidR="00C259DA" w:rsidRPr="00C259DA" w:rsidRDefault="00C259DA" w:rsidP="00C259DA">
            <w:pPr>
              <w:spacing w:after="64"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f)</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Cantidad de cigarrillos en la cajetilla;</w:t>
            </w:r>
          </w:p>
          <w:p w:rsidR="00C259DA" w:rsidRPr="00C259DA" w:rsidRDefault="00C259DA" w:rsidP="00C259DA">
            <w:pPr>
              <w:spacing w:after="64"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g)</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País de origen y número de pedimento, en su caso;</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h)</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Clave en el RFC y nombre del productor, fabricante o importador;</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Banner de la Secretaría de Salud "Fumar mata lentamente".</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eastAsia="es-ES"/>
              </w:rPr>
              <w:t>LIEPS 19</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b/>
                <w:bCs/>
                <w:color w:val="2F2F2F"/>
                <w:sz w:val="18"/>
                <w:szCs w:val="18"/>
                <w:lang w:eastAsia="es-ES"/>
              </w:rPr>
              <w:t>Comprobantes fiscales por los costos, gastos o inversiones efectuados por consorcios</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10.6.</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Para los efectos del artículo 32, apartado B, fracciones III, V, VII y IX de la LISH, los CFDI que expida el operador del consorcio a favor de cada uno de los integrantes del mismo a fin de amparar los costos, gastos e inversiones efectuados derivados de la ejecución del</w:t>
            </w:r>
          </w:p>
          <w:p w:rsidR="00C259DA" w:rsidRPr="00C259DA" w:rsidRDefault="00C259DA" w:rsidP="00C259DA">
            <w:pPr>
              <w:spacing w:after="101" w:line="240" w:lineRule="auto"/>
              <w:jc w:val="both"/>
              <w:rPr>
                <w:rFonts w:ascii="Arial" w:eastAsia="Times New Roman" w:hAnsi="Arial" w:cs="Arial"/>
                <w:color w:val="2F2F2F"/>
                <w:sz w:val="18"/>
                <w:szCs w:val="18"/>
                <w:lang w:eastAsia="es-ES"/>
              </w:rPr>
            </w:pPr>
            <w:r w:rsidRPr="00C259DA">
              <w:rPr>
                <w:rFonts w:ascii="Arial" w:eastAsia="Times New Roman" w:hAnsi="Arial" w:cs="Arial"/>
                <w:color w:val="2F2F2F"/>
                <w:sz w:val="18"/>
                <w:szCs w:val="18"/>
                <w:lang w:eastAsia="es-ES"/>
              </w:rPr>
              <w:t>contrato correspondiente, podrán emitirse de forma mensual, siempre que incluyan las operaciones que se hubieran realizado en el mes de calendario que corresponda y se expidan antes de que se cumpla el plazo para presentar las declaraciones de dicho mes.</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Tanto los CFDI´s que se emitan de forma mensual en los términos del párrafo que antecede, como aquellos que se expidan sin ejercer dicha opción deberán incorporar el Complemento "Gastos del consorcio derivados de la Ejecución de un Contrato de Exploración o Extracción de Hidrocarburos" que al efecto se publique en el Portal del SAT, mismo que contendrá la siguiente información:</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El número de contrato asignado por la Comisión Nacional de Hidrocarburos (CNH) con el cual se encuentra vinculado el gasto.</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Identificar los costos, gastos o inversiones que se realizan con el Plan de Exploración o el Plan de Desarrollo para la Extracción, conforme a los Lineamientos que regulan el procedimiento para la presentación, aprobación y supervisión del cumplimiento de los Planes de Exploración y de Desarrollo para la Extracción de Hidrocarburos, emitidos por la Comisión Nacional de Hidrocarburos.</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La referencia de que el CFDI a que se refiere esta regla se encuentra vinculado con el CFDI o con el comprobante fiscal que cumpla con lo dispuesto en la regla 2.7.1.16., expedido a favor del operador del consorcio con motivo de los costos, gastos o inversiones efectuados.</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Adicionalmente y tratándose de los comprobantes señalados en el párrafo que antecede a los que hace referencia la regla 2.7.1.16., se deberá indicar, en su caso, el número de pedimento a través del cual se haya efectuado la importación respectiva, la clave del pedimento, la clave de la forma de pago de éste, el IVA pagado y, en su caso, cualquier otro impuesto pagado en el pedimento.</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IV.</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El número de folio fiscal y fecha de expedición del CFDI o del comprobante fiscal que cumpla con lo dispuesto en la regla 2.7.1.16., expedido a favor del operador del consorcio con el cual se encuentra vinculado.</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V.</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Mes al que corresponden los costos, gastos o inversiones efectuados.</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VI.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Importe de cada uno de los costos, gastos o inversiones efectuados que integran el total del monto del CFDI emitido al integrante del consorcio y que se encuentran amparados en el CFDI o en el comprobante fiscal que cumpla con lo dispuesto en la regla 2.7.1.16., expedido a favor del operador del consorcio.</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Adicionalmente, se deberá señalar el monto total de costo, gasto o inversión, según corresponda, así como el monto total del IVA, en su caso, que conste en el CFDI o en el comprobante fiscal que cumpla con lo dispuesto en la regla 2.7.1.16., emitido al operador del consorcio. De igual forma, se deberá señalar la clave en el RFC del proveedor que expidió el CFDI a favor del operador del consorcio, con elque se encuentra vinculado el costo, gasto o inversión.</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VII.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El porcentaje que el importe del CFDI a que se refiere esta regla represente del total del importe a que se refiere la fracción anterior.</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VIII.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La actividad, sub-actividad y tarea con las cuales se encuentra relacionado el costo, gasto o inversión de que se trate, siempre que sean identificables.</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IX.</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El centro de costos al cual se encuentra relacionado el costo, gasto o inversión, especificando el pozo, yacimiento, campo y área contractual correspondiente, siempre que sean identificables.</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X.</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El monto de la retención del ISR, del IVA y en su caso de otros impuestos, que consten en el CFDI expedido a favor del operador del consorcio.</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eastAsia="es-ES"/>
              </w:rPr>
              <w:t>CFF 29, 29-A, LISH 32, RMF 2018 2.7.1.16.</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b/>
                <w:bCs/>
                <w:color w:val="2F2F2F"/>
                <w:sz w:val="18"/>
                <w:szCs w:val="18"/>
                <w:lang w:eastAsia="es-ES"/>
              </w:rPr>
              <w:t>Inicio de las actividades destinadas a la producción comercial de hidrocarburos</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lastRenderedPageBreak/>
              <w:t>10.10.</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Para los efectos del artículo 55, segundo párrafo de la LISH, se entenderá que el inicio de las actividades destinadas a la producción comercial de hidrocarburos se presenta al momento en que surta sus efectos la notificación al contratista o asignatario del primer plan</w:t>
            </w:r>
          </w:p>
          <w:p w:rsidR="00C259DA" w:rsidRPr="00C259DA" w:rsidRDefault="00C259DA" w:rsidP="00C259DA">
            <w:pPr>
              <w:spacing w:after="101" w:line="240" w:lineRule="auto"/>
              <w:jc w:val="both"/>
              <w:rPr>
                <w:rFonts w:ascii="Arial" w:eastAsia="Times New Roman" w:hAnsi="Arial" w:cs="Arial"/>
                <w:color w:val="2F2F2F"/>
                <w:sz w:val="18"/>
                <w:szCs w:val="18"/>
                <w:lang w:eastAsia="es-ES"/>
              </w:rPr>
            </w:pPr>
            <w:r w:rsidRPr="00C259DA">
              <w:rPr>
                <w:rFonts w:ascii="Arial" w:eastAsia="Times New Roman" w:hAnsi="Arial" w:cs="Arial"/>
                <w:color w:val="2F2F2F"/>
                <w:sz w:val="18"/>
                <w:szCs w:val="18"/>
                <w:lang w:eastAsia="es-ES"/>
              </w:rPr>
              <w:t>de desarrollo para la Extracción del área contractual o de asignación aprobado por la Comisión Nacional de Hidrocarburos que corresponda.</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De conformidad con lo señalado en el artículo 56, segundo párrafo de la LISH, la Comisión Nacional de Hidrocarburos proporcionará al SAT la información de la fecha de notificación del primer plan de desarrollo para la extracción de hidrocarburos que haya aprobado a cada asignatario o contratista, de conformidad con la ficha de trámite 8/LISH "Aviso de la notificación de los planes de desarrollo para la extracción de hidrocarburos aprobados por la Comisión Nacional de Hidrocarburos para la determinación del IAEEH", contenida en el Anexo 1-A.</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Tratándose de la migración de asignaciones a contratos para la exploración y extracción de hidrocarburos en los que ya exista producción comercial de los mismos, se aplicará la cuota establecida en el artículo 55, fracción II de la LISH, para efectos de la determinación del IAEEH.</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eastAsia="es-ES"/>
              </w:rPr>
              <w:t>LISH 55,56, RMF 2018 10.14.</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b/>
                <w:bCs/>
                <w:color w:val="2F2F2F"/>
                <w:sz w:val="18"/>
                <w:szCs w:val="18"/>
                <w:lang w:eastAsia="es-ES"/>
              </w:rPr>
              <w:t>Devolución de saldos a favor de IVA para contribuyentes que tengan la calidad de contratistas en términos de la Ley de Hidrocarburos</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10.21.</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Para los efectos de los artículos 6 de la Ley del IVA y 22, primer y sexto párrafos del CFF, los contribuyentes que tengan la calidad de contratistas conforme a la Ley de Hidrocarburos, podrán obtener la devolución de saldos a favor del IVA en un plazo máximo de veinte días contados a partir del día hábil siguiente a la fecha de la presentación de la solicitud correspondiente, siempre que:</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La solicitud de devolución se presente a través del FED disponible en el Portal del SAT, en el tipo de trámite "IVA Contratistas de Hidrocarburos", conforme a lo previsto por la regla 2.3.4. y la ficha de trámite 7/LISH "Solicitud de devolución de saldos a favor de IVA para contratistas", contenida en el Anexo 1-A;</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Se encuentren al corriente en el cumplimiento de sus obligaciones fiscales y las derivadas de los contratos celebrados con la Comisión Nacional de Hidrocarburos;</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El saldo a favor solicitado se haya generado y declarado a partir de la firma del contrato de exploración y extracción celebrado con la Comisión Nacional de Hidrocarburos;</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IV.</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Hayan enviado, por el período por el que se solicita la devolución, la información a que se refiere la regla 2.8.1.6., fracciones I, II y III;</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V.</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Tengan confirmado el acceso al buzón tributario a través del Portal del SAT, el cual se utilizará para darle seguimiento al trámite de que se trate;</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VI.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No tengan cancelados los certificados emitidos por el SAT para la expedición de CFDI, de conformidad con el artículo 17-H, fracción X del CFF, al momento de presentar la solicitud de devolución;</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VII.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Sus datos no estén publicados en el Portal del SAT al momento de ejercer esta facilidad, de conformidad con el artículo 69, penúltimo párrafo, fracciones I, II, III, IV, y último párrafo del CFF; o no se les haya aplicado la presunción establecida en el artículo 69-B del mismo Código, una vez que se haya publicado en el DOF y en el Portal del SAT mencionado el listado a que se refiere el tercer párrafo del citado artículo 69-B;</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VIII.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No soliciten la devolución con base en comprobantes fiscales expedidos por contribuyentes que se encuentren en la publicación o en el listado a que se refieren los artículos 69 y 69-B del CFF, y;</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IX.</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Tengan presentada con anterioridad a la fecha de presentación de la solicitud de devolución, la DIOT correspondiente al periodo por el cual se solicita dicha devolución.</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En el caso que el contribuyente incumpla cualquiera de las condiciones establecidas en las fracciones anteriores o la autoridad lo requiera conforme al artículo 22, sexto párrafo del CFF, la solicitud de devolución a que se refiere la presente regla se resolverá en el plazo de cuarenta días.</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18"/>
                <w:szCs w:val="18"/>
                <w:lang w:eastAsia="es-ES"/>
              </w:rPr>
              <w:t> </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Tratándose de contribuyentes que de conformidad con el artículo 5, fracción VI, párrafos primero, inciso b) y sexto de la Ley del IVA, a partir de enero de 2017 realicen gastos e inversiones en periodo preoperativo y opten por solicitar la devolución del IVA que les haya sido trasladado o pagado en la importación por dichos gastos e inversiones, deberán presentar la solicitud de devolución en el mes siguiente a aquél en el que se realicen losgastos e inversiones. No obstante, la primera solicitud, así como las subsecuentes, se podrán presentar con posterioridad siempre y cuando el contribuyente no hubiere realizado actos o actividades por los que va a estar obligado al pago del IVA o a la realización de actividades a la tasa del 0%.</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Cuando se ejerza la opción a que se refiere el párrafo anterior, se entiende que el período preoperativo inició en el mes en que se debió haber presentado la primera solicitud de devolución.</w:t>
            </w:r>
          </w:p>
          <w:p w:rsidR="00C259DA" w:rsidRPr="00C259DA" w:rsidRDefault="00C259DA" w:rsidP="00C259DA">
            <w:pPr>
              <w:spacing w:after="101" w:line="240" w:lineRule="auto"/>
              <w:ind w:hanging="1152"/>
              <w:jc w:val="both"/>
              <w:rPr>
                <w:rFonts w:ascii="Arial" w:eastAsia="Times New Roman" w:hAnsi="Arial" w:cs="Arial"/>
                <w:color w:val="2F2F2F"/>
                <w:sz w:val="18"/>
                <w:szCs w:val="18"/>
                <w:lang w:val="en-US"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val="en-US" w:eastAsia="es-ES"/>
              </w:rPr>
              <w:t>CFF 17-H, 22, 22-A, 69, 69-B, LIVA 5, 6, RMF 2018, 2.3.4., 2.8.1.6.</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val="en-US" w:eastAsia="es-ES"/>
              </w:rPr>
              <w:t>                   </w:t>
            </w:r>
            <w:r w:rsidRPr="00C259DA">
              <w:rPr>
                <w:rFonts w:ascii="Arial" w:eastAsia="Times New Roman" w:hAnsi="Arial" w:cs="Arial"/>
                <w:b/>
                <w:bCs/>
                <w:color w:val="2F2F2F"/>
                <w:sz w:val="18"/>
                <w:szCs w:val="18"/>
                <w:lang w:eastAsia="es-ES"/>
              </w:rPr>
              <w:t>Requisitos a cumplir tratándose de donación y entrega para su exhibición y conservación de obras a museos</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11.1.1.</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 xml:space="preserve">Para los efectos de los Artículos Tercero y Décimo Segundo del Decreto a que se refiere este Capítulo y en particular, de las donaciones de obras a museos propiedad de personas morales autorizadas para recibir donativos deducibles, o que pertenezcan a la Federación, una entidad federativa, municipio u organismo descentralizado o de la entrega de obras de arte plásticas distintas a la pintura, grabado y escultura para su exhibición y conservación a un museo de arte </w:t>
            </w:r>
            <w:r w:rsidRPr="00C259DA">
              <w:rPr>
                <w:rFonts w:ascii="Arial" w:eastAsia="Times New Roman" w:hAnsi="Arial" w:cs="Arial"/>
                <w:color w:val="2F2F2F"/>
                <w:sz w:val="18"/>
                <w:szCs w:val="18"/>
                <w:lang w:eastAsia="es-ES"/>
              </w:rPr>
              <w:lastRenderedPageBreak/>
              <w:t>contemporáneo, se estará a lo siguiente:</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Los museos a que hace referencia esta regla, deberán presentar por conducto de persona facultada para ello, mediante buzón tributario, la siguiente información relativa a los artistas que les hubieren donado o entregado obras: nombre completo del artista, seudónimo del mismo, ficha técnica de la obra donada o entregada para su exhibición y conservación, imagen digital de la obra en alta resolución.</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Las obras deberán exhibirse permanentemente en museos o pinacotecas abiertas al público en general, dedicadas a la difusión de la plástica contemporánea, con espacios de exposición permanente que cumplan con las condiciones museográficas, curatoriales y de almacenamiento propias para su resguardo y exhibición.</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eastAsia="es-ES"/>
              </w:rPr>
              <w:t>DECRETO DOF 31/10/94 Tercero, Décimo Segundo</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b/>
                <w:bCs/>
                <w:color w:val="2F2F2F"/>
                <w:sz w:val="18"/>
                <w:szCs w:val="18"/>
                <w:lang w:eastAsia="es-ES"/>
              </w:rPr>
              <w:t>Fondo Nacional para el Fomento de las Artesanías (FONART) como museo para las obras señaladas en la regla 11.1.8.</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11.1.9.</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Para los efectos del Artículo Décimo Segundo del Decreto a que se refiere este Capítulo, y en particular tratándose de la entrega para exhibición y conservación, de las obras a que se refiere la regla 11.1.8., el FONART se considera museo de arte contemporáneo, el cual deberá exhibir las obras que le sean entregadas, no enajenarlas y conservarlas.</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eastAsia="es-ES"/>
              </w:rPr>
              <w:t>DECRETO 31/10/94 Tercero, Décimo Segundo, RMF 2018 11.1.8.</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b/>
                <w:bCs/>
                <w:color w:val="2F2F2F"/>
                <w:sz w:val="18"/>
                <w:szCs w:val="18"/>
                <w:lang w:eastAsia="es-ES"/>
              </w:rPr>
              <w:t>Devolución del excedente del estímulo acreditable</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11.8.1.</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Para los efectos de lo previsto en los Artículos Segundo, Tercero y Quinto del Decreto a que se refiere este Capítulo, en relación con el artículo 22 del CFF, el estímulo o su excedente que no se haya acreditado, podrá solicitarse en devolución utilizando el FED disponible en el Portal del SAT bajo la modalidad "ESTIMULO IEPS FRONTERA-GASOLINAS", la cantidad que resulte procedente se devolverá en un plazo máximo de trece días contados a partir de la fecha en que se presente la solicitud de devolución y se cumpla con los siguientes requisitos:</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Cuenten con la e.firma o la e.firma portable vigente y opinión positiva del cumplimiento de sus obligaciones fiscales para efectos de lo dispuesto en el artículo 32-D del CFF.</w:t>
            </w:r>
          </w:p>
          <w:p w:rsidR="00C259DA" w:rsidRPr="00C259DA" w:rsidRDefault="00C259DA" w:rsidP="00C259DA">
            <w:pPr>
              <w:spacing w:after="60"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La cantidad que se solicite se haya generado en los ejercicios fiscales de 2017 o 2018 determinada conforme a lo establecido en el Decreto a que se refiere este Capítulo, después de aplicarse en su caso contra el pago provisional o anual del ISR o definitivo del IVA a cargo del contribuyente, según corresponda, y se tramite</w:t>
            </w:r>
          </w:p>
          <w:p w:rsidR="00C259DA" w:rsidRPr="00C259DA" w:rsidRDefault="00C259DA" w:rsidP="00C259DA">
            <w:pPr>
              <w:spacing w:after="60" w:line="240" w:lineRule="auto"/>
              <w:jc w:val="both"/>
              <w:rPr>
                <w:rFonts w:ascii="Arial" w:eastAsia="Times New Roman" w:hAnsi="Arial" w:cs="Arial"/>
                <w:color w:val="2F2F2F"/>
                <w:sz w:val="18"/>
                <w:szCs w:val="18"/>
                <w:lang w:eastAsia="es-ES"/>
              </w:rPr>
            </w:pPr>
            <w:r w:rsidRPr="00C259DA">
              <w:rPr>
                <w:rFonts w:ascii="Arial" w:eastAsia="Times New Roman" w:hAnsi="Arial" w:cs="Arial"/>
                <w:color w:val="2F2F2F"/>
                <w:sz w:val="18"/>
                <w:szCs w:val="18"/>
                <w:lang w:eastAsia="es-ES"/>
              </w:rPr>
              <w:t>una vez presentadas las declaraciones correspondientes a dichos impuestos, así como la DIOT a que se refiere el artículo 32, primer párrafo, fracción VIII de la Ley del IVA y la información contable prevista en las fracciones I, II y III de la regla 2.8.1.6., respecto del mismo periodo por el que se solicite la devolución.</w:t>
            </w:r>
          </w:p>
          <w:p w:rsidR="00C259DA" w:rsidRPr="00C259DA" w:rsidRDefault="00C259DA" w:rsidP="00C259DA">
            <w:pPr>
              <w:spacing w:after="60"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Los contribuyentes podrán optar por no acreditar el monto del estímulo contra el ISR e IVA y solicitar su devolución a partir del primer día hábil del mes siguiente a aquél en que se generó el estímulo, siempre que se tengan presentadas las declaraciones de dichos impuestos, la DIOT e información contable, señaladas en el párrafo anterior, respecto del periodo inmediato anterior a aquél por el que se solicite la devolución y se cumpla con los demás requisitos y condiciones previstos en la presente regla, manifestando bajo protesta de decir verdad esta circunstancia mediante escrito anexo a su solicitud, en cuyo caso las cantidades solicitadas en devolución ya no se podrán acreditar contra dichos impuestos. De no actualizarse la citada manifestación, se perderá el derecho para ejercer con posterioridad lafacilidad administrativa a que se refiere este párrafo.</w:t>
            </w:r>
          </w:p>
          <w:p w:rsidR="00C259DA" w:rsidRPr="00C259DA" w:rsidRDefault="00C259DA" w:rsidP="00C259DA">
            <w:pPr>
              <w:spacing w:after="60"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III.</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Se proporcionen anexos a la solicitud de devolución:</w:t>
            </w:r>
          </w:p>
          <w:p w:rsidR="00C259DA" w:rsidRPr="00C259DA" w:rsidRDefault="00C259DA" w:rsidP="00C259DA">
            <w:pPr>
              <w:spacing w:after="60"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a)</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Papel de trabajo para determinar el monto del estímulo acreditable y el excedente que se solicite en devolución, respecto de las enajenaciones de gasolinas efectuadas según corresponda al tipo de gasolina, identificadas por cada estación de servicio ubicada en las zonas geográficas a que se refieren los Artículos Cuarto y Quinto del Decreto, distinguiéndolas de las enajenaciones de gasolinas en el resto del territorio nacional, así como en su caso, los papeles de trabajo para determinar el ISR y el IVA del periodo por el que se solicita la devolución, precisando el importe del estímulo acreditado contra dichos impuestos.</w:t>
            </w:r>
          </w:p>
          <w:p w:rsidR="00C259DA" w:rsidRPr="00C259DA" w:rsidRDefault="00C259DA" w:rsidP="00C259DA">
            <w:pPr>
              <w:spacing w:after="60"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b)</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El archivo denominado "VTADetalle" en formato XML conforme al numeral 18.9. del Anexo 18, en relación a las "Especificaciones Técnicas para la Generación del Archivo XML de Controles Volumétricos para Gasolina o Diésel" versión 1.2 publicadas en el Portal del SAT en el mes de abril de 2018, derivado del reporte emitido de los equipos y programas informáticos con los que se llevan los controles volumétricos en donde se registra el volumen utilizado para determinar la existencia, adquisición y venta de combustible en términos del artículo 28, fracción I, segundo y tercer párrafos del CFF, cuya información deberá corresponder con la registrada en lacontabilidad del contribuyente.</w:t>
            </w:r>
          </w:p>
          <w:p w:rsidR="00C259DA" w:rsidRPr="00C259DA" w:rsidRDefault="00C259DA" w:rsidP="00C259DA">
            <w:pPr>
              <w:spacing w:after="60"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c)</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El archivo en formato XML de las pólizas que contengan el registro contable en cuentas de orden del importe total del estímulo fiscal generado, acreditado y obtenido en devolución en su caso, así como las relativas al registro pormenorizado de la enajenación de gasolina realizada exclusivamente en las estaciones de servicio ubicadas en las zonas geográficas a que se refierenlos artículos Cuarto y Quinto del Decreto a que se refiere este Capítulo, distinguidas de la enajenación de dicho combustible en el resto del territorio nacional, respecto del periodo por el que se solicita la devolución.</w:t>
            </w:r>
          </w:p>
          <w:p w:rsidR="00C259DA" w:rsidRPr="00C259DA" w:rsidRDefault="00C259DA" w:rsidP="00C259DA">
            <w:pPr>
              <w:spacing w:after="60"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d)</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Escrito firmado por el contribuyente o su representante legal en el que se manifieste bajo protesta de decir verdad, si la totalidad del suministro de las gasolinas sujetas al estímulo se realizó directamente en los tanques de gasolina de los vehículos para el empleo en su motor, conforme a lo dispuesto en el Artículo Tercero del Decreto a que se refiere este Capítulo, detallando en su caso, las enajenaciones efectuadas en forma distinta en dichas zonas geográficas.</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e)</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Estado de cuenta expedido por la Institución Financiera que no exceda de 2 meses de antigüedad y que contenga el nombre, denominación o razón social y la clave en el RFC del contribuyente que tramita la solicitud y el número de la cuenta bancaria activa (CLABE) a 18 dígitos para efectuar transferencias electrónicas, misma que deberá corresponder a la que se indique en el FED para el depósito del importe de la devolución que resulte procedente.</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lastRenderedPageBreak/>
              <w:t>f)</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Tratándose de la primera solicitud de devolución, adicionalmente se anexarán:</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color w:val="2F2F2F"/>
                <w:sz w:val="18"/>
                <w:szCs w:val="18"/>
                <w:lang w:eastAsia="es-ES"/>
              </w:rPr>
              <w:t> </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1.</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Permiso(s) vigente(s) expedido(s) por la Comisión Reguladora de Energía, para el expendio al público de petrolíferos en estaciones de servicio, que comprendan cada una de las estaciones de servicio ubicadas en las zonas geográficas sujetas al estímulo, debiendoasimismo presentarse cada vez que se modifique o actualice.</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2.</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Relación de las estaciones de servicio susceptibles al estímulo con permiso a nombre del contribuyente que solicita la devolución en los términos del numeral anterior, indicando su número de registro para poder operar como tales otorgado por la autoridad competente, sudomicilio y fecha de apertura ante el RFC, así como la zona geográfica donde se ubiquen conforme a los Artículos Cuarto y Quinto del Decreto a que se refiere este Capítulo, presentándose asimismo cuando se actualice esta información.</w:t>
            </w:r>
          </w:p>
          <w:p w:rsidR="00C259DA" w:rsidRPr="00C259DA" w:rsidRDefault="00C259DA" w:rsidP="00C259DA">
            <w:pPr>
              <w:spacing w:after="101" w:line="240" w:lineRule="auto"/>
              <w:ind w:hanging="43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3.</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Las pólizas, papeles de trabajo y reportes de los controles volumétricos, en donde se refleje el registro y movimientos del inventario final de gasolinas al 31 de diciembre de 2016 o 2017, según corresponda, así como de las gasolinas suministradas durante el ejercicio 2017 o 2018, a la estación de servicio de que se trate, cuando se hayan adquirido conforme a las disposiciones vigentes hasta 2016 o 2017, respectivamente.</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No obstante lo anterior, se dejan a salvo las facultades de comprobación de las autoridades fiscales de conformidad con lo establecido en el artículo 22 del CFF.</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El beneficio del plazo expedito a que se refiere la presente regla, no procederá cuando:</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1.</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Se trate de contribuyentes cuyos datos estén publicados en el Portal del SAT al momento de presentar su solicitud, en términos del artículo 69, párrafos penúltimo, fracciones I, II, III, IV, y último del CFF, así como a los que se les haya aplicado la presunción establecida en el artículo 69-B del CFF y esté publicado en el listado definitivo en el DOF y en el citado portal.</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2.</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La devolución se solicite con base en comprobantes fiscales expedidos por los contribuyentes que se encuentren en la publicación o el listado a que se refieren los artículos 69 o 69-B del CFF, señalados en el inciso anterior, salvo que el solicitante haya corregido su situación fiscal en relación con dichas operaciones.</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3.</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Se haya dejado sin efectos el certificado del contribuyente emitido por el SAT, de conformidad con lo establecido en el artículo 17-H, fracción X del CFF, durante el periodo de solicitud de devolución, salvo que el solicitante corrija o aclare su situación fiscal en relación con el supuesto de que se trate.</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4.</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El solicitante o su representante legal sea socio, accionista, asociado, miembro, integrante o representante legal de personas morales, que sean o hayan sido a su vez socios, accionistas, asociados, miembros, integrantes o representantes legales de otra persona moral a la que haya sido notificada la resolución prevista en el artículo 69-B, tercer párrafo del CFF.</w:t>
            </w:r>
          </w:p>
          <w:p w:rsidR="00C259DA" w:rsidRPr="00C259DA" w:rsidRDefault="00C259DA" w:rsidP="00C259DA">
            <w:pPr>
              <w:spacing w:after="101" w:line="240" w:lineRule="auto"/>
              <w:ind w:hanging="720"/>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5.</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En los doce meses anteriores al periodo en que se presente la solicitud de devolución conforme a la presente regla, el solicitante tenga resoluciones firmes en las que se hayan negado total o parcialmente las cantidades solicitadas en devolución, en las que el importe negado acumulado en esos meses sea superior a $5'000,000.00 (cinco millones de pesos 00/100 M.N.) o supere más del 20% del monto acumulado de dichas cantidades, salvo cuando no se hayan presentado previamente solicitudes de devolución.</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i/>
                <w:iCs/>
                <w:color w:val="2F2F2F"/>
                <w:sz w:val="18"/>
                <w:szCs w:val="18"/>
                <w:lang w:eastAsia="es-ES"/>
              </w:rPr>
              <w:t>CFF 17-H, 22, 25, 28, 32-D, 69, 69-B, LISR 27, LIVA 32, LIEPS </w:t>
            </w:r>
            <w:r w:rsidRPr="00C259DA">
              <w:rPr>
                <w:rFonts w:ascii="Arial" w:eastAsia="Times New Roman" w:hAnsi="Arial" w:cs="Arial"/>
                <w:color w:val="2F2F2F"/>
                <w:sz w:val="18"/>
                <w:szCs w:val="18"/>
                <w:lang w:eastAsia="es-ES"/>
              </w:rPr>
              <w:t>2, 19</w:t>
            </w:r>
            <w:r w:rsidRPr="00C259DA">
              <w:rPr>
                <w:rFonts w:ascii="Arial" w:eastAsia="Times New Roman" w:hAnsi="Arial" w:cs="Arial"/>
                <w:i/>
                <w:iCs/>
                <w:color w:val="2F2F2F"/>
                <w:sz w:val="18"/>
                <w:szCs w:val="18"/>
                <w:lang w:eastAsia="es-ES"/>
              </w:rPr>
              <w:t>, RCFF 33, 34, RMF 2018 2.1.39., 2.8.1.6., DECRETO DOF 27/12/2016 Segundo, Tercero y Quinto</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TERCERO.</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Se reforma el Artículo Octavo Transitorio de la RMF para 2018 publicado en el DOF el 22 de diciembre de 2017 para quedar como sigue:</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18"/>
                <w:szCs w:val="18"/>
                <w:lang w:eastAsia="es-ES"/>
              </w:rPr>
              <w:t> </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Octavo.</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Para los efectos del artículo 29-A, cuarto y quinto párrafos del CFF y Artículo Sexto, fracción I de las Disposiciones Transitorias del CFF publicado en el DOF el 30 de noviembre de 2016, las reglas 2.7.1.38. y 2.7.1.39., serán aplicables a partir del 1 de septiembre de 2018.</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CUARTO.</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Se reforma el Artículo Cuarto Resolutivo de la Primera Resolución de Modificaciones a la RMF para 2018 publicada en el DOF el 30 de abril de 2018, para quedar como sigue:</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"CUARTO.</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La fecha a partir de la cual el contratante realizará la consulta de la información autorizada por el contratista por actividades de subcontratación laboral respecto a los meses de enero a agosto de 2018 y sucesivos a que se refiere la regla 3.3.1.50., en relación con el Artículo Segundo Transitorio, fracción I, será el último día del mes de septiembre de 2018.</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El aviso de cumplimiento de las obligaciones del ejercicio de 2017 a que se refiere el Artículo Tercero Transitorio, segundo párrafo, dado a conocer en el Portal del SAT el 7 de febrero de 2018, podrá presentarse a más tardar el 30 de septiembre de 2018."</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QUINTO.</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Se reforma el Artículo Décimo Noveno Transitorio de la RMF para 2018 publicado en el DOF el 22 de diciembre de 2017 para quedar como sigue:</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"Décimo</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Noveno</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Los Órganos Verificadores que actualmente se encuentran autorizados por el SAT para verificar requisitos y obligaciones de los Proveedores de Servicio Autorizados (PSA), se entenderán como Órganos Certificadores autorizados de dichos PSA, siempre que presenten a más tardar el 31 de julio de 2018, escrito bajo protesta de decir verdad que continúan cumpliendo los requisitos y obligaciones para emitir las certificaciones correspondientes".</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SEXTO.</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Se da a conocer el anexo 9 de la Resolución Miscelánea Fiscal para 2018.</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 xml:space="preserve">Se modifica el Anexo 24 de la Resolución Miscelánea Fiscal para 2017 y los Anexos 1, 1-A, 11, 14, 15 y 23 de la RMF para </w:t>
            </w:r>
            <w:r w:rsidRPr="00C259DA">
              <w:rPr>
                <w:rFonts w:ascii="Arial" w:eastAsia="Times New Roman" w:hAnsi="Arial" w:cs="Arial"/>
                <w:color w:val="2F2F2F"/>
                <w:sz w:val="18"/>
                <w:szCs w:val="18"/>
                <w:lang w:eastAsia="es-ES"/>
              </w:rPr>
              <w:lastRenderedPageBreak/>
              <w:t>2018.</w:t>
            </w:r>
          </w:p>
          <w:p w:rsidR="00C259DA" w:rsidRPr="00C259DA" w:rsidRDefault="00C259DA" w:rsidP="00C259DA">
            <w:pPr>
              <w:spacing w:after="101" w:line="240" w:lineRule="auto"/>
              <w:jc w:val="center"/>
              <w:rPr>
                <w:rFonts w:ascii="Times New Roman" w:eastAsia="Times New Roman" w:hAnsi="Times New Roman" w:cs="Times New Roman"/>
                <w:b/>
                <w:bCs/>
                <w:color w:val="2F2F2F"/>
                <w:sz w:val="18"/>
                <w:szCs w:val="18"/>
                <w:lang w:eastAsia="es-ES"/>
              </w:rPr>
            </w:pPr>
            <w:r w:rsidRPr="00C259DA">
              <w:rPr>
                <w:rFonts w:ascii="Times" w:eastAsia="Times New Roman" w:hAnsi="Times" w:cs="Times"/>
                <w:b/>
                <w:bCs/>
                <w:color w:val="2F2F2F"/>
                <w:sz w:val="18"/>
                <w:szCs w:val="18"/>
                <w:lang w:eastAsia="es-ES"/>
              </w:rPr>
              <w:t>Transitorios</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Primero.</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La presente Resolución entrará en vigor el día siguiente al de su publicación en el DOF.</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Segundo.</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Para los efectos del aviso a que hacen referencia las reglas 3.21.6.1 y 3.21.6.6., las personas morales que durante 2018 se encuentren tributando conforme a lo dispuesto en el Título II de la Ley del ISR, podrán optar por aplicar lo dispuesto en el Título VII, Capítulo VIII de la Ley del ISR, siempre que presenten el aviso señalado en dichas reglas a más tardar el 31 de diciembre de 2018.</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Asimismo deberán presentar nuevamente los pagos provisionales del ISR, acumulando los ingresos efectivamente percibidos en el periodo de la declaración, desde el mes de enero y hasta el mes en que ejerzan la opción de utilizar "Mi Contabilidad" en términos de la regla 3.21.6.2., y conforme a lo señalado en el artículo 199, segundo párrafo de la Ley del ISR, es decir, aplicando el coeficiente de utilidad al ingreso acumulable del periodo de que se trate, sin que durante el ejercicio puedan variar dicha opción.</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En aquéllos casos en que los contribuyentes, hayan realizado los pagos provisionales del ISR a través de la herramienta "Declaraciones y Pagos"; deberán dejar sin efectos dichos pagos a través de la declaración complementaria "dejar sin efectos obligación" en la citada herramienta y presentarlos a través del aplicativo "Mi contabilidad" mediante declaraciones complementarias como "obligación no presentada". El monto pagado, con el cual se cubrieron dichas obligaciones, podrá disminuirse contra el monto del impuesto que resulte a su cargo en el aplicativo "Mi contabilidad", por conceptos del ISR, en términos de la legislación fiscal aplicable hasta por el monto de dicho impuesto.</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Las declaraciones complementarias que presenten los contribuyentes conforme a esta disposición no computarán para el límite que establece el artículo 32 del CFF.</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Tercero.</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Para efectos de la regla 3.10.11. y la ficha de trámite 19/ISR "Informe para garantizar la</w:t>
            </w:r>
          </w:p>
          <w:p w:rsidR="00C259DA" w:rsidRPr="00C259DA" w:rsidRDefault="00C259DA" w:rsidP="00C259DA">
            <w:pPr>
              <w:spacing w:after="101" w:line="240" w:lineRule="auto"/>
              <w:jc w:val="both"/>
              <w:rPr>
                <w:rFonts w:ascii="Arial" w:eastAsia="Times New Roman" w:hAnsi="Arial" w:cs="Arial"/>
                <w:color w:val="2F2F2F"/>
                <w:sz w:val="18"/>
                <w:szCs w:val="18"/>
                <w:lang w:eastAsia="es-ES"/>
              </w:rPr>
            </w:pPr>
            <w:r w:rsidRPr="00C259DA">
              <w:rPr>
                <w:rFonts w:ascii="Arial" w:eastAsia="Times New Roman" w:hAnsi="Arial" w:cs="Arial"/>
                <w:color w:val="2F2F2F"/>
                <w:sz w:val="18"/>
                <w:szCs w:val="18"/>
                <w:lang w:eastAsia="es-ES"/>
              </w:rPr>
              <w:t>transparencia, así como el uso y destino de los donativos recibidos y actividades destinadas a influir en la legislación", contenida del Anexo 1-A, las personas morales y fideicomisos obligados a poner a disposición del público en general la Información para garantizar la transparencia, así como el uso y destino de los donativos recibidos y actividades destinadas a influir en la legislación, correspondiente al ejercicio 2017, son aquéllos autorizados para recibir donativos deducibles en términos de la Ley del ISR por el ejercicio fiscal 2017, que seincluyeron en el Anexo 14 de la RMF y sus respectivas modificaciones, publicadas en el DOF el 9 de enero, 16 de mayo, 21 de julio, 12 de octubre de 2017 y 19 de enero de 2018, siempre que su autorización no se haya revocado o haya perdido vigencia en fecha posterior a las señaladas.</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No se encuentran obligadas a presentar la obligación anterior, las organizaciones civiles y fideicomisos autorizados para recibir donativos deducibles de manera condicionada; ni aquellas donatarias autorizadas que sus datos no han sido incluidos en alguna de las publicaciones del Anexo 14 mencionadas en el párrafo anterior.</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Cuarto.</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Las obligaciones establecidas en las reglas 3.3.1.10., fracción III y 3.3.1.19., fracción IV, referentes al complemento de identificación de recurso y minuta de gastos por cuenta de terceros, serán aplicables una vez que el SAT publique en su Portal el citado complemento y haya transcurrido el plazo a que se refiere la regla 2.7.1.8.</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Quinto.</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Para los efectos del artículo 82, fracción V, segundo y cuarto párrafos de la Ley del ISR y de la regla 3.10.20., las organizaciones civiles y fideicomisos autorizados para recibir donativos deducibles del ISR que hayan obtenido ingresos en el ejercicio inmediato anterior, iguales o superiores a $2,000,000.00 (dos millones de pesos 00/100 M.N.), cuyo sexto digito numérico de la clave en el RFC corresponda a 1 y 2, se entenderá que cumplieron con la obligación de modificar sus estatutos sociales o su contrato de fideicomiso incorporando la cláusula irrevocable de transmisión de patrimonio, si presentaron su aviso de modificación en términos de la regla 3.10.2., fracción II ficha de trámite 16/ISR "Avisos para la actualización del padrón y directorio de donatarias autorizadas para recibir donativos deducibles" antes del 1 de mayo de 2018 y hasta que la autoridad lo apruebe mediante la resolución que emita para tal efecto.</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Sexto.</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Lo dispuesto en la regla 2.5.21. entrará en vigor a partir del 25 de julio de 2018.</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Séptimo.</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Para los efectos de la regla 3.20.8., los contribuyentes podrán presentar el pago provisional a que se refiere la fracción III de la mencionada regla, así como los pagos correspondientes a los meses subsecuentes hasta agosto de 2018, a más tardar en la fecha en que se tiene la obligación de presentar el pago provisional correspondiente al mes de agosto de 2018.</w:t>
            </w:r>
          </w:p>
          <w:p w:rsidR="00C259DA" w:rsidRPr="00C259DA" w:rsidRDefault="00C259DA" w:rsidP="00C259DA">
            <w:pPr>
              <w:spacing w:after="101" w:line="240" w:lineRule="auto"/>
              <w:ind w:hanging="1152"/>
              <w:jc w:val="both"/>
              <w:rPr>
                <w:rFonts w:ascii="Arial" w:eastAsia="Times New Roman" w:hAnsi="Arial" w:cs="Arial"/>
                <w:color w:val="2F2F2F"/>
                <w:sz w:val="18"/>
                <w:szCs w:val="18"/>
                <w:lang w:eastAsia="es-ES"/>
              </w:rPr>
            </w:pPr>
            <w:r w:rsidRPr="00C259DA">
              <w:rPr>
                <w:rFonts w:ascii="Arial" w:eastAsia="Times New Roman" w:hAnsi="Arial" w:cs="Arial"/>
                <w:b/>
                <w:bCs/>
                <w:color w:val="2F2F2F"/>
                <w:sz w:val="18"/>
                <w:szCs w:val="18"/>
                <w:lang w:eastAsia="es-ES"/>
              </w:rPr>
              <w:t>Octavo.</w:t>
            </w:r>
            <w:r w:rsidRPr="00C259DA">
              <w:rPr>
                <w:rFonts w:ascii="Arial" w:eastAsia="Times New Roman" w:hAnsi="Arial" w:cs="Arial"/>
                <w:color w:val="2F2F2F"/>
                <w:sz w:val="20"/>
                <w:szCs w:val="20"/>
                <w:lang w:eastAsia="es-ES"/>
              </w:rPr>
              <w:t>        </w:t>
            </w:r>
            <w:r w:rsidRPr="00C259DA">
              <w:rPr>
                <w:rFonts w:ascii="Arial" w:eastAsia="Times New Roman" w:hAnsi="Arial" w:cs="Arial"/>
                <w:color w:val="2F2F2F"/>
                <w:sz w:val="18"/>
                <w:szCs w:val="18"/>
                <w:lang w:eastAsia="es-ES"/>
              </w:rPr>
              <w:t>Para efectos de la Regla 11.8.1., atento a lo previsto en el último párrafo del Artículo Segundo del Decreto, el derecho para solicitar la devolución del estímulo establecido en dicho Artículo tiene vigencia de un año contado a partir del mes inmediato posterior a aquél en el que se obtuvo el saldo excedente, y considerando que la determinación de los precios de gasolinas y el diésel pasó de los precios máximos al público a condiciones de mercado, de manera progresiva, conforme al cronograma de flexibilización publicado el 26 de diciembre de 2016 dentro del "Acuerdo que establece cronograma de flexibilización de precios de gasolinas y diésel previsto en el artículo Transitorio Décimo Segundo de la Ley de Ingresos de la Federación para el ejercicio fiscal 2017", las solicitudes de devolución que se presenten respecto de los excedentes del estímulo, deberán considerar el momento en que tales excedentes se obtuvieron, a fin de aplicar los precios máximos al público o lascondiciones de mercado, conforme se haya dado la paulatina liberalización por área de aplicación.</w:t>
            </w:r>
          </w:p>
          <w:p w:rsidR="00C259DA" w:rsidRPr="00C259DA" w:rsidRDefault="00C259DA" w:rsidP="00C259DA">
            <w:pPr>
              <w:spacing w:after="101" w:line="240" w:lineRule="auto"/>
              <w:ind w:firstLine="288"/>
              <w:jc w:val="both"/>
              <w:rPr>
                <w:rFonts w:ascii="Arial" w:eastAsia="Times New Roman" w:hAnsi="Arial" w:cs="Arial"/>
                <w:color w:val="2F2F2F"/>
                <w:sz w:val="18"/>
                <w:szCs w:val="18"/>
                <w:lang w:eastAsia="es-ES"/>
              </w:rPr>
            </w:pPr>
            <w:r w:rsidRPr="00C259DA">
              <w:rPr>
                <w:rFonts w:ascii="Arial" w:eastAsia="Times New Roman" w:hAnsi="Arial" w:cs="Arial"/>
                <w:color w:val="2F2F2F"/>
                <w:sz w:val="18"/>
                <w:szCs w:val="18"/>
                <w:lang w:eastAsia="es-ES"/>
              </w:rPr>
              <w:t>Atentamente</w:t>
            </w:r>
          </w:p>
          <w:p w:rsidR="00C259DA" w:rsidRPr="00C259DA" w:rsidRDefault="00C259DA" w:rsidP="00C259DA">
            <w:pPr>
              <w:spacing w:after="101" w:line="240" w:lineRule="auto"/>
              <w:ind w:firstLine="288"/>
              <w:jc w:val="both"/>
              <w:rPr>
                <w:rFonts w:ascii="Arial" w:eastAsia="Times New Roman" w:hAnsi="Arial" w:cs="Arial"/>
                <w:color w:val="2F2F2F"/>
                <w:sz w:val="18"/>
                <w:szCs w:val="18"/>
                <w:lang w:eastAsia="es-ES"/>
              </w:rPr>
            </w:pPr>
            <w:r w:rsidRPr="00C259DA">
              <w:rPr>
                <w:rFonts w:ascii="Arial" w:eastAsia="Times New Roman" w:hAnsi="Arial" w:cs="Arial"/>
                <w:color w:val="2F2F2F"/>
                <w:sz w:val="18"/>
                <w:szCs w:val="18"/>
                <w:lang w:eastAsia="es-ES"/>
              </w:rPr>
              <w:t>Ciudad de México, 29 de junio de 2018.- El Jefe del Servicio de Administración Tributaria, </w:t>
            </w:r>
            <w:r w:rsidRPr="00C259DA">
              <w:rPr>
                <w:rFonts w:ascii="Arial" w:eastAsia="Times New Roman" w:hAnsi="Arial" w:cs="Arial"/>
                <w:b/>
                <w:bCs/>
                <w:color w:val="2F2F2F"/>
                <w:sz w:val="18"/>
                <w:szCs w:val="18"/>
                <w:lang w:eastAsia="es-ES"/>
              </w:rPr>
              <w:t>Osvaldo Antonio Santín Quiroz</w:t>
            </w:r>
            <w:r w:rsidRPr="00C259DA">
              <w:rPr>
                <w:rFonts w:ascii="Arial" w:eastAsia="Times New Roman" w:hAnsi="Arial" w:cs="Arial"/>
                <w:color w:val="2F2F2F"/>
                <w:sz w:val="18"/>
                <w:szCs w:val="18"/>
                <w:lang w:eastAsia="es-ES"/>
              </w:rPr>
              <w:t>.- Rúbrica.</w:t>
            </w:r>
          </w:p>
        </w:tc>
      </w:tr>
    </w:tbl>
    <w:p w:rsidR="00E1130F" w:rsidRDefault="00E1130F" w:rsidP="00C259DA">
      <w:pPr>
        <w:spacing w:line="240" w:lineRule="auto"/>
      </w:pPr>
    </w:p>
    <w:sectPr w:rsidR="00E1130F" w:rsidSect="00C259DA">
      <w:pgSz w:w="11906" w:h="16838"/>
      <w:pgMar w:top="709" w:right="709" w:bottom="709" w:left="709"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hyphenationZone w:val="425"/>
  <w:drawingGridHorizontalSpacing w:val="110"/>
  <w:displayHorizontalDrawingGridEvery w:val="2"/>
  <w:characterSpacingControl w:val="doNotCompress"/>
  <w:compat/>
  <w:rsids>
    <w:rsidRoot w:val="00C259DA"/>
    <w:rsid w:val="006862E5"/>
    <w:rsid w:val="00713D68"/>
    <w:rsid w:val="00C259DA"/>
    <w:rsid w:val="00CE6A5E"/>
    <w:rsid w:val="00D7119D"/>
    <w:rsid w:val="00E1130F"/>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1130F"/>
  </w:style>
  <w:style w:type="paragraph" w:styleId="Ttulo1">
    <w:name w:val="heading 1"/>
    <w:basedOn w:val="Normal"/>
    <w:link w:val="Ttulo1Car"/>
    <w:uiPriority w:val="9"/>
    <w:qFormat/>
    <w:rsid w:val="00C259DA"/>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paragraph" w:styleId="Ttulo2">
    <w:name w:val="heading 2"/>
    <w:basedOn w:val="Normal"/>
    <w:link w:val="Ttulo2Car"/>
    <w:uiPriority w:val="9"/>
    <w:qFormat/>
    <w:rsid w:val="00C259DA"/>
    <w:pPr>
      <w:spacing w:before="100" w:beforeAutospacing="1" w:after="100" w:afterAutospacing="1" w:line="240" w:lineRule="auto"/>
      <w:outlineLvl w:val="1"/>
    </w:pPr>
    <w:rPr>
      <w:rFonts w:ascii="Times New Roman" w:eastAsia="Times New Roman" w:hAnsi="Times New Roman" w:cs="Times New Roman"/>
      <w:b/>
      <w:bCs/>
      <w:sz w:val="36"/>
      <w:szCs w:val="36"/>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C259DA"/>
    <w:rPr>
      <w:rFonts w:ascii="Times New Roman" w:eastAsia="Times New Roman" w:hAnsi="Times New Roman" w:cs="Times New Roman"/>
      <w:b/>
      <w:bCs/>
      <w:kern w:val="36"/>
      <w:sz w:val="48"/>
      <w:szCs w:val="48"/>
      <w:lang w:eastAsia="es-ES"/>
    </w:rPr>
  </w:style>
  <w:style w:type="character" w:customStyle="1" w:styleId="Ttulo2Car">
    <w:name w:val="Título 2 Car"/>
    <w:basedOn w:val="Fuentedeprrafopredeter"/>
    <w:link w:val="Ttulo2"/>
    <w:uiPriority w:val="9"/>
    <w:rsid w:val="00C259DA"/>
    <w:rPr>
      <w:rFonts w:ascii="Times New Roman" w:eastAsia="Times New Roman" w:hAnsi="Times New Roman" w:cs="Times New Roman"/>
      <w:b/>
      <w:bCs/>
      <w:sz w:val="36"/>
      <w:szCs w:val="36"/>
      <w:lang w:eastAsia="es-ES"/>
    </w:rPr>
  </w:style>
</w:styles>
</file>

<file path=word/webSettings.xml><?xml version="1.0" encoding="utf-8"?>
<w:webSettings xmlns:r="http://schemas.openxmlformats.org/officeDocument/2006/relationships" xmlns:w="http://schemas.openxmlformats.org/wordprocessingml/2006/main">
  <w:divs>
    <w:div w:id="1113019747">
      <w:bodyDiv w:val="1"/>
      <w:marLeft w:val="0"/>
      <w:marRight w:val="0"/>
      <w:marTop w:val="0"/>
      <w:marBottom w:val="0"/>
      <w:divBdr>
        <w:top w:val="none" w:sz="0" w:space="0" w:color="auto"/>
        <w:left w:val="none" w:sz="0" w:space="0" w:color="auto"/>
        <w:bottom w:val="none" w:sz="0" w:space="0" w:color="auto"/>
        <w:right w:val="none" w:sz="0" w:space="0" w:color="auto"/>
      </w:divBdr>
      <w:divsChild>
        <w:div w:id="446780066">
          <w:marLeft w:val="0"/>
          <w:marRight w:val="0"/>
          <w:marTop w:val="0"/>
          <w:marBottom w:val="0"/>
          <w:divBdr>
            <w:top w:val="none" w:sz="0" w:space="0" w:color="auto"/>
            <w:left w:val="none" w:sz="0" w:space="0" w:color="auto"/>
            <w:bottom w:val="none" w:sz="0" w:space="0" w:color="auto"/>
            <w:right w:val="none" w:sz="0" w:space="0" w:color="auto"/>
          </w:divBdr>
          <w:divsChild>
            <w:div w:id="1756051601">
              <w:marLeft w:val="0"/>
              <w:marRight w:val="0"/>
              <w:marTop w:val="0"/>
              <w:marBottom w:val="0"/>
              <w:divBdr>
                <w:top w:val="none" w:sz="0" w:space="0" w:color="auto"/>
                <w:left w:val="none" w:sz="0" w:space="0" w:color="auto"/>
                <w:bottom w:val="none" w:sz="0" w:space="0" w:color="auto"/>
                <w:right w:val="none" w:sz="0" w:space="0" w:color="auto"/>
              </w:divBdr>
              <w:divsChild>
                <w:div w:id="1582181574">
                  <w:marLeft w:val="0"/>
                  <w:marRight w:val="0"/>
                  <w:marTop w:val="0"/>
                  <w:marBottom w:val="101"/>
                  <w:divBdr>
                    <w:top w:val="none" w:sz="0" w:space="0" w:color="auto"/>
                    <w:left w:val="none" w:sz="0" w:space="0" w:color="auto"/>
                    <w:bottom w:val="none" w:sz="0" w:space="0" w:color="auto"/>
                    <w:right w:val="none" w:sz="0" w:space="0" w:color="auto"/>
                  </w:divBdr>
                </w:div>
                <w:div w:id="1319118322">
                  <w:marLeft w:val="0"/>
                  <w:marRight w:val="0"/>
                  <w:marTop w:val="0"/>
                  <w:marBottom w:val="101"/>
                  <w:divBdr>
                    <w:top w:val="none" w:sz="0" w:space="0" w:color="auto"/>
                    <w:left w:val="none" w:sz="0" w:space="0" w:color="auto"/>
                    <w:bottom w:val="none" w:sz="0" w:space="0" w:color="auto"/>
                    <w:right w:val="none" w:sz="0" w:space="0" w:color="auto"/>
                  </w:divBdr>
                </w:div>
                <w:div w:id="1439179960">
                  <w:marLeft w:val="0"/>
                  <w:marRight w:val="0"/>
                  <w:marTop w:val="0"/>
                  <w:marBottom w:val="101"/>
                  <w:divBdr>
                    <w:top w:val="none" w:sz="0" w:space="0" w:color="auto"/>
                    <w:left w:val="none" w:sz="0" w:space="0" w:color="auto"/>
                    <w:bottom w:val="none" w:sz="0" w:space="0" w:color="auto"/>
                    <w:right w:val="none" w:sz="0" w:space="0" w:color="auto"/>
                  </w:divBdr>
                </w:div>
                <w:div w:id="829322027">
                  <w:marLeft w:val="1440"/>
                  <w:marRight w:val="0"/>
                  <w:marTop w:val="0"/>
                  <w:marBottom w:val="101"/>
                  <w:divBdr>
                    <w:top w:val="none" w:sz="0" w:space="0" w:color="auto"/>
                    <w:left w:val="none" w:sz="0" w:space="0" w:color="auto"/>
                    <w:bottom w:val="none" w:sz="0" w:space="0" w:color="auto"/>
                    <w:right w:val="none" w:sz="0" w:space="0" w:color="auto"/>
                  </w:divBdr>
                </w:div>
                <w:div w:id="1967615839">
                  <w:marLeft w:val="1440"/>
                  <w:marRight w:val="0"/>
                  <w:marTop w:val="0"/>
                  <w:marBottom w:val="101"/>
                  <w:divBdr>
                    <w:top w:val="none" w:sz="0" w:space="0" w:color="auto"/>
                    <w:left w:val="none" w:sz="0" w:space="0" w:color="auto"/>
                    <w:bottom w:val="none" w:sz="0" w:space="0" w:color="auto"/>
                    <w:right w:val="none" w:sz="0" w:space="0" w:color="auto"/>
                  </w:divBdr>
                </w:div>
                <w:div w:id="947278820">
                  <w:marLeft w:val="2160"/>
                  <w:marRight w:val="0"/>
                  <w:marTop w:val="0"/>
                  <w:marBottom w:val="101"/>
                  <w:divBdr>
                    <w:top w:val="none" w:sz="0" w:space="0" w:color="auto"/>
                    <w:left w:val="none" w:sz="0" w:space="0" w:color="auto"/>
                    <w:bottom w:val="none" w:sz="0" w:space="0" w:color="auto"/>
                    <w:right w:val="none" w:sz="0" w:space="0" w:color="auto"/>
                  </w:divBdr>
                </w:div>
                <w:div w:id="2002653671">
                  <w:marLeft w:val="1440"/>
                  <w:marRight w:val="0"/>
                  <w:marTop w:val="0"/>
                  <w:marBottom w:val="101"/>
                  <w:divBdr>
                    <w:top w:val="none" w:sz="0" w:space="0" w:color="auto"/>
                    <w:left w:val="none" w:sz="0" w:space="0" w:color="auto"/>
                    <w:bottom w:val="none" w:sz="0" w:space="0" w:color="auto"/>
                    <w:right w:val="none" w:sz="0" w:space="0" w:color="auto"/>
                  </w:divBdr>
                </w:div>
                <w:div w:id="1546061185">
                  <w:marLeft w:val="2160"/>
                  <w:marRight w:val="0"/>
                  <w:marTop w:val="0"/>
                  <w:marBottom w:val="101"/>
                  <w:divBdr>
                    <w:top w:val="none" w:sz="0" w:space="0" w:color="auto"/>
                    <w:left w:val="none" w:sz="0" w:space="0" w:color="auto"/>
                    <w:bottom w:val="none" w:sz="0" w:space="0" w:color="auto"/>
                    <w:right w:val="none" w:sz="0" w:space="0" w:color="auto"/>
                  </w:divBdr>
                </w:div>
                <w:div w:id="488374562">
                  <w:marLeft w:val="2160"/>
                  <w:marRight w:val="0"/>
                  <w:marTop w:val="0"/>
                  <w:marBottom w:val="101"/>
                  <w:divBdr>
                    <w:top w:val="none" w:sz="0" w:space="0" w:color="auto"/>
                    <w:left w:val="none" w:sz="0" w:space="0" w:color="auto"/>
                    <w:bottom w:val="none" w:sz="0" w:space="0" w:color="auto"/>
                    <w:right w:val="none" w:sz="0" w:space="0" w:color="auto"/>
                  </w:divBdr>
                </w:div>
                <w:div w:id="53430179">
                  <w:marLeft w:val="1440"/>
                  <w:marRight w:val="0"/>
                  <w:marTop w:val="0"/>
                  <w:marBottom w:val="101"/>
                  <w:divBdr>
                    <w:top w:val="none" w:sz="0" w:space="0" w:color="auto"/>
                    <w:left w:val="none" w:sz="0" w:space="0" w:color="auto"/>
                    <w:bottom w:val="none" w:sz="0" w:space="0" w:color="auto"/>
                    <w:right w:val="none" w:sz="0" w:space="0" w:color="auto"/>
                  </w:divBdr>
                </w:div>
                <w:div w:id="1498619350">
                  <w:marLeft w:val="2160"/>
                  <w:marRight w:val="0"/>
                  <w:marTop w:val="0"/>
                  <w:marBottom w:val="101"/>
                  <w:divBdr>
                    <w:top w:val="none" w:sz="0" w:space="0" w:color="auto"/>
                    <w:left w:val="none" w:sz="0" w:space="0" w:color="auto"/>
                    <w:bottom w:val="none" w:sz="0" w:space="0" w:color="auto"/>
                    <w:right w:val="none" w:sz="0" w:space="0" w:color="auto"/>
                  </w:divBdr>
                </w:div>
                <w:div w:id="930746262">
                  <w:marLeft w:val="1440"/>
                  <w:marRight w:val="0"/>
                  <w:marTop w:val="0"/>
                  <w:marBottom w:val="101"/>
                  <w:divBdr>
                    <w:top w:val="none" w:sz="0" w:space="0" w:color="auto"/>
                    <w:left w:val="none" w:sz="0" w:space="0" w:color="auto"/>
                    <w:bottom w:val="none" w:sz="0" w:space="0" w:color="auto"/>
                    <w:right w:val="none" w:sz="0" w:space="0" w:color="auto"/>
                  </w:divBdr>
                </w:div>
                <w:div w:id="2045983669">
                  <w:marLeft w:val="2160"/>
                  <w:marRight w:val="0"/>
                  <w:marTop w:val="0"/>
                  <w:marBottom w:val="101"/>
                  <w:divBdr>
                    <w:top w:val="none" w:sz="0" w:space="0" w:color="auto"/>
                    <w:left w:val="none" w:sz="0" w:space="0" w:color="auto"/>
                    <w:bottom w:val="none" w:sz="0" w:space="0" w:color="auto"/>
                    <w:right w:val="none" w:sz="0" w:space="0" w:color="auto"/>
                  </w:divBdr>
                </w:div>
                <w:div w:id="614409192">
                  <w:marLeft w:val="1440"/>
                  <w:marRight w:val="0"/>
                  <w:marTop w:val="0"/>
                  <w:marBottom w:val="101"/>
                  <w:divBdr>
                    <w:top w:val="none" w:sz="0" w:space="0" w:color="auto"/>
                    <w:left w:val="none" w:sz="0" w:space="0" w:color="auto"/>
                    <w:bottom w:val="none" w:sz="0" w:space="0" w:color="auto"/>
                    <w:right w:val="none" w:sz="0" w:space="0" w:color="auto"/>
                  </w:divBdr>
                </w:div>
                <w:div w:id="387345190">
                  <w:marLeft w:val="1440"/>
                  <w:marRight w:val="0"/>
                  <w:marTop w:val="0"/>
                  <w:marBottom w:val="101"/>
                  <w:divBdr>
                    <w:top w:val="none" w:sz="0" w:space="0" w:color="auto"/>
                    <w:left w:val="none" w:sz="0" w:space="0" w:color="auto"/>
                    <w:bottom w:val="none" w:sz="0" w:space="0" w:color="auto"/>
                    <w:right w:val="none" w:sz="0" w:space="0" w:color="auto"/>
                  </w:divBdr>
                </w:div>
                <w:div w:id="669066455">
                  <w:marLeft w:val="1440"/>
                  <w:marRight w:val="0"/>
                  <w:marTop w:val="0"/>
                  <w:marBottom w:val="101"/>
                  <w:divBdr>
                    <w:top w:val="none" w:sz="0" w:space="0" w:color="auto"/>
                    <w:left w:val="none" w:sz="0" w:space="0" w:color="auto"/>
                    <w:bottom w:val="none" w:sz="0" w:space="0" w:color="auto"/>
                    <w:right w:val="none" w:sz="0" w:space="0" w:color="auto"/>
                  </w:divBdr>
                </w:div>
                <w:div w:id="1678773636">
                  <w:marLeft w:val="1440"/>
                  <w:marRight w:val="0"/>
                  <w:marTop w:val="0"/>
                  <w:marBottom w:val="101"/>
                  <w:divBdr>
                    <w:top w:val="none" w:sz="0" w:space="0" w:color="auto"/>
                    <w:left w:val="none" w:sz="0" w:space="0" w:color="auto"/>
                    <w:bottom w:val="none" w:sz="0" w:space="0" w:color="auto"/>
                    <w:right w:val="none" w:sz="0" w:space="0" w:color="auto"/>
                  </w:divBdr>
                </w:div>
                <w:div w:id="2087872881">
                  <w:marLeft w:val="2160"/>
                  <w:marRight w:val="0"/>
                  <w:marTop w:val="0"/>
                  <w:marBottom w:val="101"/>
                  <w:divBdr>
                    <w:top w:val="none" w:sz="0" w:space="0" w:color="auto"/>
                    <w:left w:val="none" w:sz="0" w:space="0" w:color="auto"/>
                    <w:bottom w:val="none" w:sz="0" w:space="0" w:color="auto"/>
                    <w:right w:val="none" w:sz="0" w:space="0" w:color="auto"/>
                  </w:divBdr>
                </w:div>
                <w:div w:id="1292442029">
                  <w:marLeft w:val="2160"/>
                  <w:marRight w:val="0"/>
                  <w:marTop w:val="0"/>
                  <w:marBottom w:val="101"/>
                  <w:divBdr>
                    <w:top w:val="none" w:sz="0" w:space="0" w:color="auto"/>
                    <w:left w:val="none" w:sz="0" w:space="0" w:color="auto"/>
                    <w:bottom w:val="none" w:sz="0" w:space="0" w:color="auto"/>
                    <w:right w:val="none" w:sz="0" w:space="0" w:color="auto"/>
                  </w:divBdr>
                </w:div>
                <w:div w:id="365907924">
                  <w:marLeft w:val="2160"/>
                  <w:marRight w:val="0"/>
                  <w:marTop w:val="0"/>
                  <w:marBottom w:val="101"/>
                  <w:divBdr>
                    <w:top w:val="none" w:sz="0" w:space="0" w:color="auto"/>
                    <w:left w:val="none" w:sz="0" w:space="0" w:color="auto"/>
                    <w:bottom w:val="none" w:sz="0" w:space="0" w:color="auto"/>
                    <w:right w:val="none" w:sz="0" w:space="0" w:color="auto"/>
                  </w:divBdr>
                </w:div>
                <w:div w:id="248119458">
                  <w:marLeft w:val="2160"/>
                  <w:marRight w:val="0"/>
                  <w:marTop w:val="0"/>
                  <w:marBottom w:val="101"/>
                  <w:divBdr>
                    <w:top w:val="none" w:sz="0" w:space="0" w:color="auto"/>
                    <w:left w:val="none" w:sz="0" w:space="0" w:color="auto"/>
                    <w:bottom w:val="none" w:sz="0" w:space="0" w:color="auto"/>
                    <w:right w:val="none" w:sz="0" w:space="0" w:color="auto"/>
                  </w:divBdr>
                </w:div>
                <w:div w:id="1075473905">
                  <w:marLeft w:val="2160"/>
                  <w:marRight w:val="0"/>
                  <w:marTop w:val="0"/>
                  <w:marBottom w:val="101"/>
                  <w:divBdr>
                    <w:top w:val="none" w:sz="0" w:space="0" w:color="auto"/>
                    <w:left w:val="none" w:sz="0" w:space="0" w:color="auto"/>
                    <w:bottom w:val="none" w:sz="0" w:space="0" w:color="auto"/>
                    <w:right w:val="none" w:sz="0" w:space="0" w:color="auto"/>
                  </w:divBdr>
                </w:div>
                <w:div w:id="1597904435">
                  <w:marLeft w:val="2160"/>
                  <w:marRight w:val="0"/>
                  <w:marTop w:val="0"/>
                  <w:marBottom w:val="101"/>
                  <w:divBdr>
                    <w:top w:val="none" w:sz="0" w:space="0" w:color="auto"/>
                    <w:left w:val="none" w:sz="0" w:space="0" w:color="auto"/>
                    <w:bottom w:val="none" w:sz="0" w:space="0" w:color="auto"/>
                    <w:right w:val="none" w:sz="0" w:space="0" w:color="auto"/>
                  </w:divBdr>
                </w:div>
                <w:div w:id="878321247">
                  <w:marLeft w:val="2160"/>
                  <w:marRight w:val="0"/>
                  <w:marTop w:val="0"/>
                  <w:marBottom w:val="101"/>
                  <w:divBdr>
                    <w:top w:val="none" w:sz="0" w:space="0" w:color="auto"/>
                    <w:left w:val="none" w:sz="0" w:space="0" w:color="auto"/>
                    <w:bottom w:val="none" w:sz="0" w:space="0" w:color="auto"/>
                    <w:right w:val="none" w:sz="0" w:space="0" w:color="auto"/>
                  </w:divBdr>
                </w:div>
                <w:div w:id="1020619841">
                  <w:marLeft w:val="2160"/>
                  <w:marRight w:val="0"/>
                  <w:marTop w:val="0"/>
                  <w:marBottom w:val="101"/>
                  <w:divBdr>
                    <w:top w:val="none" w:sz="0" w:space="0" w:color="auto"/>
                    <w:left w:val="none" w:sz="0" w:space="0" w:color="auto"/>
                    <w:bottom w:val="none" w:sz="0" w:space="0" w:color="auto"/>
                    <w:right w:val="none" w:sz="0" w:space="0" w:color="auto"/>
                  </w:divBdr>
                </w:div>
                <w:div w:id="402725946">
                  <w:marLeft w:val="2160"/>
                  <w:marRight w:val="0"/>
                  <w:marTop w:val="0"/>
                  <w:marBottom w:val="101"/>
                  <w:divBdr>
                    <w:top w:val="none" w:sz="0" w:space="0" w:color="auto"/>
                    <w:left w:val="none" w:sz="0" w:space="0" w:color="auto"/>
                    <w:bottom w:val="none" w:sz="0" w:space="0" w:color="auto"/>
                    <w:right w:val="none" w:sz="0" w:space="0" w:color="auto"/>
                  </w:divBdr>
                </w:div>
                <w:div w:id="1980644786">
                  <w:marLeft w:val="2160"/>
                  <w:marRight w:val="0"/>
                  <w:marTop w:val="0"/>
                  <w:marBottom w:val="101"/>
                  <w:divBdr>
                    <w:top w:val="none" w:sz="0" w:space="0" w:color="auto"/>
                    <w:left w:val="none" w:sz="0" w:space="0" w:color="auto"/>
                    <w:bottom w:val="none" w:sz="0" w:space="0" w:color="auto"/>
                    <w:right w:val="none" w:sz="0" w:space="0" w:color="auto"/>
                  </w:divBdr>
                </w:div>
                <w:div w:id="1781340196">
                  <w:marLeft w:val="2160"/>
                  <w:marRight w:val="0"/>
                  <w:marTop w:val="0"/>
                  <w:marBottom w:val="101"/>
                  <w:divBdr>
                    <w:top w:val="none" w:sz="0" w:space="0" w:color="auto"/>
                    <w:left w:val="none" w:sz="0" w:space="0" w:color="auto"/>
                    <w:bottom w:val="none" w:sz="0" w:space="0" w:color="auto"/>
                    <w:right w:val="none" w:sz="0" w:space="0" w:color="auto"/>
                  </w:divBdr>
                </w:div>
                <w:div w:id="907034524">
                  <w:marLeft w:val="2160"/>
                  <w:marRight w:val="0"/>
                  <w:marTop w:val="0"/>
                  <w:marBottom w:val="101"/>
                  <w:divBdr>
                    <w:top w:val="none" w:sz="0" w:space="0" w:color="auto"/>
                    <w:left w:val="none" w:sz="0" w:space="0" w:color="auto"/>
                    <w:bottom w:val="none" w:sz="0" w:space="0" w:color="auto"/>
                    <w:right w:val="none" w:sz="0" w:space="0" w:color="auto"/>
                  </w:divBdr>
                </w:div>
                <w:div w:id="1390346266">
                  <w:marLeft w:val="2160"/>
                  <w:marRight w:val="0"/>
                  <w:marTop w:val="0"/>
                  <w:marBottom w:val="101"/>
                  <w:divBdr>
                    <w:top w:val="none" w:sz="0" w:space="0" w:color="auto"/>
                    <w:left w:val="none" w:sz="0" w:space="0" w:color="auto"/>
                    <w:bottom w:val="none" w:sz="0" w:space="0" w:color="auto"/>
                    <w:right w:val="none" w:sz="0" w:space="0" w:color="auto"/>
                  </w:divBdr>
                </w:div>
                <w:div w:id="1751195004">
                  <w:marLeft w:val="2160"/>
                  <w:marRight w:val="0"/>
                  <w:marTop w:val="0"/>
                  <w:marBottom w:val="101"/>
                  <w:divBdr>
                    <w:top w:val="none" w:sz="0" w:space="0" w:color="auto"/>
                    <w:left w:val="none" w:sz="0" w:space="0" w:color="auto"/>
                    <w:bottom w:val="none" w:sz="0" w:space="0" w:color="auto"/>
                    <w:right w:val="none" w:sz="0" w:space="0" w:color="auto"/>
                  </w:divBdr>
                </w:div>
                <w:div w:id="761412593">
                  <w:marLeft w:val="2160"/>
                  <w:marRight w:val="0"/>
                  <w:marTop w:val="0"/>
                  <w:marBottom w:val="101"/>
                  <w:divBdr>
                    <w:top w:val="none" w:sz="0" w:space="0" w:color="auto"/>
                    <w:left w:val="none" w:sz="0" w:space="0" w:color="auto"/>
                    <w:bottom w:val="none" w:sz="0" w:space="0" w:color="auto"/>
                    <w:right w:val="none" w:sz="0" w:space="0" w:color="auto"/>
                  </w:divBdr>
                </w:div>
                <w:div w:id="522860501">
                  <w:marLeft w:val="2160"/>
                  <w:marRight w:val="0"/>
                  <w:marTop w:val="0"/>
                  <w:marBottom w:val="101"/>
                  <w:divBdr>
                    <w:top w:val="none" w:sz="0" w:space="0" w:color="auto"/>
                    <w:left w:val="none" w:sz="0" w:space="0" w:color="auto"/>
                    <w:bottom w:val="none" w:sz="0" w:space="0" w:color="auto"/>
                    <w:right w:val="none" w:sz="0" w:space="0" w:color="auto"/>
                  </w:divBdr>
                </w:div>
                <w:div w:id="2080931725">
                  <w:marLeft w:val="2160"/>
                  <w:marRight w:val="0"/>
                  <w:marTop w:val="0"/>
                  <w:marBottom w:val="101"/>
                  <w:divBdr>
                    <w:top w:val="none" w:sz="0" w:space="0" w:color="auto"/>
                    <w:left w:val="none" w:sz="0" w:space="0" w:color="auto"/>
                    <w:bottom w:val="none" w:sz="0" w:space="0" w:color="auto"/>
                    <w:right w:val="none" w:sz="0" w:space="0" w:color="auto"/>
                  </w:divBdr>
                </w:div>
                <w:div w:id="2079088689">
                  <w:marLeft w:val="1440"/>
                  <w:marRight w:val="0"/>
                  <w:marTop w:val="0"/>
                  <w:marBottom w:val="101"/>
                  <w:divBdr>
                    <w:top w:val="none" w:sz="0" w:space="0" w:color="auto"/>
                    <w:left w:val="none" w:sz="0" w:space="0" w:color="auto"/>
                    <w:bottom w:val="none" w:sz="0" w:space="0" w:color="auto"/>
                    <w:right w:val="none" w:sz="0" w:space="0" w:color="auto"/>
                  </w:divBdr>
                </w:div>
                <w:div w:id="1792631194">
                  <w:marLeft w:val="1440"/>
                  <w:marRight w:val="0"/>
                  <w:marTop w:val="0"/>
                  <w:marBottom w:val="101"/>
                  <w:divBdr>
                    <w:top w:val="none" w:sz="0" w:space="0" w:color="auto"/>
                    <w:left w:val="none" w:sz="0" w:space="0" w:color="auto"/>
                    <w:bottom w:val="none" w:sz="0" w:space="0" w:color="auto"/>
                    <w:right w:val="none" w:sz="0" w:space="0" w:color="auto"/>
                  </w:divBdr>
                </w:div>
                <w:div w:id="1784105039">
                  <w:marLeft w:val="1440"/>
                  <w:marRight w:val="0"/>
                  <w:marTop w:val="0"/>
                  <w:marBottom w:val="101"/>
                  <w:divBdr>
                    <w:top w:val="none" w:sz="0" w:space="0" w:color="auto"/>
                    <w:left w:val="none" w:sz="0" w:space="0" w:color="auto"/>
                    <w:bottom w:val="none" w:sz="0" w:space="0" w:color="auto"/>
                    <w:right w:val="none" w:sz="0" w:space="0" w:color="auto"/>
                  </w:divBdr>
                </w:div>
                <w:div w:id="702824560">
                  <w:marLeft w:val="1440"/>
                  <w:marRight w:val="0"/>
                  <w:marTop w:val="0"/>
                  <w:marBottom w:val="101"/>
                  <w:divBdr>
                    <w:top w:val="none" w:sz="0" w:space="0" w:color="auto"/>
                    <w:left w:val="none" w:sz="0" w:space="0" w:color="auto"/>
                    <w:bottom w:val="none" w:sz="0" w:space="0" w:color="auto"/>
                    <w:right w:val="none" w:sz="0" w:space="0" w:color="auto"/>
                  </w:divBdr>
                </w:div>
                <w:div w:id="651252037">
                  <w:marLeft w:val="1440"/>
                  <w:marRight w:val="0"/>
                  <w:marTop w:val="0"/>
                  <w:marBottom w:val="101"/>
                  <w:divBdr>
                    <w:top w:val="none" w:sz="0" w:space="0" w:color="auto"/>
                    <w:left w:val="none" w:sz="0" w:space="0" w:color="auto"/>
                    <w:bottom w:val="none" w:sz="0" w:space="0" w:color="auto"/>
                    <w:right w:val="none" w:sz="0" w:space="0" w:color="auto"/>
                  </w:divBdr>
                </w:div>
                <w:div w:id="1933969599">
                  <w:marLeft w:val="1440"/>
                  <w:marRight w:val="0"/>
                  <w:marTop w:val="0"/>
                  <w:marBottom w:val="101"/>
                  <w:divBdr>
                    <w:top w:val="none" w:sz="0" w:space="0" w:color="auto"/>
                    <w:left w:val="none" w:sz="0" w:space="0" w:color="auto"/>
                    <w:bottom w:val="none" w:sz="0" w:space="0" w:color="auto"/>
                    <w:right w:val="none" w:sz="0" w:space="0" w:color="auto"/>
                  </w:divBdr>
                </w:div>
                <w:div w:id="172649790">
                  <w:marLeft w:val="1440"/>
                  <w:marRight w:val="0"/>
                  <w:marTop w:val="0"/>
                  <w:marBottom w:val="101"/>
                  <w:divBdr>
                    <w:top w:val="none" w:sz="0" w:space="0" w:color="auto"/>
                    <w:left w:val="none" w:sz="0" w:space="0" w:color="auto"/>
                    <w:bottom w:val="none" w:sz="0" w:space="0" w:color="auto"/>
                    <w:right w:val="none" w:sz="0" w:space="0" w:color="auto"/>
                  </w:divBdr>
                </w:div>
                <w:div w:id="25764253">
                  <w:marLeft w:val="1440"/>
                  <w:marRight w:val="0"/>
                  <w:marTop w:val="0"/>
                  <w:marBottom w:val="101"/>
                  <w:divBdr>
                    <w:top w:val="none" w:sz="0" w:space="0" w:color="auto"/>
                    <w:left w:val="none" w:sz="0" w:space="0" w:color="auto"/>
                    <w:bottom w:val="none" w:sz="0" w:space="0" w:color="auto"/>
                    <w:right w:val="none" w:sz="0" w:space="0" w:color="auto"/>
                  </w:divBdr>
                </w:div>
                <w:div w:id="546184684">
                  <w:marLeft w:val="1440"/>
                  <w:marRight w:val="0"/>
                  <w:marTop w:val="0"/>
                  <w:marBottom w:val="101"/>
                  <w:divBdr>
                    <w:top w:val="none" w:sz="0" w:space="0" w:color="auto"/>
                    <w:left w:val="none" w:sz="0" w:space="0" w:color="auto"/>
                    <w:bottom w:val="none" w:sz="0" w:space="0" w:color="auto"/>
                    <w:right w:val="none" w:sz="0" w:space="0" w:color="auto"/>
                  </w:divBdr>
                </w:div>
                <w:div w:id="2068606097">
                  <w:marLeft w:val="1440"/>
                  <w:marRight w:val="0"/>
                  <w:marTop w:val="0"/>
                  <w:marBottom w:val="101"/>
                  <w:divBdr>
                    <w:top w:val="none" w:sz="0" w:space="0" w:color="auto"/>
                    <w:left w:val="none" w:sz="0" w:space="0" w:color="auto"/>
                    <w:bottom w:val="none" w:sz="0" w:space="0" w:color="auto"/>
                    <w:right w:val="none" w:sz="0" w:space="0" w:color="auto"/>
                  </w:divBdr>
                </w:div>
                <w:div w:id="199825464">
                  <w:marLeft w:val="2160"/>
                  <w:marRight w:val="0"/>
                  <w:marTop w:val="0"/>
                  <w:marBottom w:val="101"/>
                  <w:divBdr>
                    <w:top w:val="none" w:sz="0" w:space="0" w:color="auto"/>
                    <w:left w:val="none" w:sz="0" w:space="0" w:color="auto"/>
                    <w:bottom w:val="none" w:sz="0" w:space="0" w:color="auto"/>
                    <w:right w:val="none" w:sz="0" w:space="0" w:color="auto"/>
                  </w:divBdr>
                </w:div>
                <w:div w:id="602306617">
                  <w:marLeft w:val="2160"/>
                  <w:marRight w:val="0"/>
                  <w:marTop w:val="0"/>
                  <w:marBottom w:val="101"/>
                  <w:divBdr>
                    <w:top w:val="none" w:sz="0" w:space="0" w:color="auto"/>
                    <w:left w:val="none" w:sz="0" w:space="0" w:color="auto"/>
                    <w:bottom w:val="none" w:sz="0" w:space="0" w:color="auto"/>
                    <w:right w:val="none" w:sz="0" w:space="0" w:color="auto"/>
                  </w:divBdr>
                </w:div>
                <w:div w:id="1572230699">
                  <w:marLeft w:val="2160"/>
                  <w:marRight w:val="0"/>
                  <w:marTop w:val="0"/>
                  <w:marBottom w:val="101"/>
                  <w:divBdr>
                    <w:top w:val="none" w:sz="0" w:space="0" w:color="auto"/>
                    <w:left w:val="none" w:sz="0" w:space="0" w:color="auto"/>
                    <w:bottom w:val="none" w:sz="0" w:space="0" w:color="auto"/>
                    <w:right w:val="none" w:sz="0" w:space="0" w:color="auto"/>
                  </w:divBdr>
                </w:div>
                <w:div w:id="1649898948">
                  <w:marLeft w:val="2160"/>
                  <w:marRight w:val="0"/>
                  <w:marTop w:val="0"/>
                  <w:marBottom w:val="101"/>
                  <w:divBdr>
                    <w:top w:val="none" w:sz="0" w:space="0" w:color="auto"/>
                    <w:left w:val="none" w:sz="0" w:space="0" w:color="auto"/>
                    <w:bottom w:val="none" w:sz="0" w:space="0" w:color="auto"/>
                    <w:right w:val="none" w:sz="0" w:space="0" w:color="auto"/>
                  </w:divBdr>
                </w:div>
                <w:div w:id="211773230">
                  <w:marLeft w:val="1440"/>
                  <w:marRight w:val="0"/>
                  <w:marTop w:val="0"/>
                  <w:marBottom w:val="101"/>
                  <w:divBdr>
                    <w:top w:val="none" w:sz="0" w:space="0" w:color="auto"/>
                    <w:left w:val="none" w:sz="0" w:space="0" w:color="auto"/>
                    <w:bottom w:val="none" w:sz="0" w:space="0" w:color="auto"/>
                    <w:right w:val="none" w:sz="0" w:space="0" w:color="auto"/>
                  </w:divBdr>
                </w:div>
                <w:div w:id="2071925429">
                  <w:marLeft w:val="1440"/>
                  <w:marRight w:val="0"/>
                  <w:marTop w:val="0"/>
                  <w:marBottom w:val="101"/>
                  <w:divBdr>
                    <w:top w:val="none" w:sz="0" w:space="0" w:color="auto"/>
                    <w:left w:val="none" w:sz="0" w:space="0" w:color="auto"/>
                    <w:bottom w:val="none" w:sz="0" w:space="0" w:color="auto"/>
                    <w:right w:val="none" w:sz="0" w:space="0" w:color="auto"/>
                  </w:divBdr>
                </w:div>
                <w:div w:id="620958574">
                  <w:marLeft w:val="1440"/>
                  <w:marRight w:val="0"/>
                  <w:marTop w:val="0"/>
                  <w:marBottom w:val="101"/>
                  <w:divBdr>
                    <w:top w:val="none" w:sz="0" w:space="0" w:color="auto"/>
                    <w:left w:val="none" w:sz="0" w:space="0" w:color="auto"/>
                    <w:bottom w:val="none" w:sz="0" w:space="0" w:color="auto"/>
                    <w:right w:val="none" w:sz="0" w:space="0" w:color="auto"/>
                  </w:divBdr>
                </w:div>
                <w:div w:id="2002073622">
                  <w:marLeft w:val="1440"/>
                  <w:marRight w:val="0"/>
                  <w:marTop w:val="0"/>
                  <w:marBottom w:val="101"/>
                  <w:divBdr>
                    <w:top w:val="none" w:sz="0" w:space="0" w:color="auto"/>
                    <w:left w:val="none" w:sz="0" w:space="0" w:color="auto"/>
                    <w:bottom w:val="none" w:sz="0" w:space="0" w:color="auto"/>
                    <w:right w:val="none" w:sz="0" w:space="0" w:color="auto"/>
                  </w:divBdr>
                </w:div>
                <w:div w:id="1310668941">
                  <w:marLeft w:val="1440"/>
                  <w:marRight w:val="0"/>
                  <w:marTop w:val="0"/>
                  <w:marBottom w:val="101"/>
                  <w:divBdr>
                    <w:top w:val="none" w:sz="0" w:space="0" w:color="auto"/>
                    <w:left w:val="none" w:sz="0" w:space="0" w:color="auto"/>
                    <w:bottom w:val="none" w:sz="0" w:space="0" w:color="auto"/>
                    <w:right w:val="none" w:sz="0" w:space="0" w:color="auto"/>
                  </w:divBdr>
                </w:div>
                <w:div w:id="488448667">
                  <w:marLeft w:val="2160"/>
                  <w:marRight w:val="0"/>
                  <w:marTop w:val="0"/>
                  <w:marBottom w:val="101"/>
                  <w:divBdr>
                    <w:top w:val="none" w:sz="0" w:space="0" w:color="auto"/>
                    <w:left w:val="none" w:sz="0" w:space="0" w:color="auto"/>
                    <w:bottom w:val="none" w:sz="0" w:space="0" w:color="auto"/>
                    <w:right w:val="none" w:sz="0" w:space="0" w:color="auto"/>
                  </w:divBdr>
                </w:div>
                <w:div w:id="939294584">
                  <w:marLeft w:val="2160"/>
                  <w:marRight w:val="0"/>
                  <w:marTop w:val="0"/>
                  <w:marBottom w:val="101"/>
                  <w:divBdr>
                    <w:top w:val="none" w:sz="0" w:space="0" w:color="auto"/>
                    <w:left w:val="none" w:sz="0" w:space="0" w:color="auto"/>
                    <w:bottom w:val="none" w:sz="0" w:space="0" w:color="auto"/>
                    <w:right w:val="none" w:sz="0" w:space="0" w:color="auto"/>
                  </w:divBdr>
                </w:div>
                <w:div w:id="1553539171">
                  <w:marLeft w:val="2160"/>
                  <w:marRight w:val="0"/>
                  <w:marTop w:val="0"/>
                  <w:marBottom w:val="101"/>
                  <w:divBdr>
                    <w:top w:val="none" w:sz="0" w:space="0" w:color="auto"/>
                    <w:left w:val="none" w:sz="0" w:space="0" w:color="auto"/>
                    <w:bottom w:val="none" w:sz="0" w:space="0" w:color="auto"/>
                    <w:right w:val="none" w:sz="0" w:space="0" w:color="auto"/>
                  </w:divBdr>
                </w:div>
                <w:div w:id="406805864">
                  <w:marLeft w:val="1440"/>
                  <w:marRight w:val="0"/>
                  <w:marTop w:val="0"/>
                  <w:marBottom w:val="101"/>
                  <w:divBdr>
                    <w:top w:val="none" w:sz="0" w:space="0" w:color="auto"/>
                    <w:left w:val="none" w:sz="0" w:space="0" w:color="auto"/>
                    <w:bottom w:val="none" w:sz="0" w:space="0" w:color="auto"/>
                    <w:right w:val="none" w:sz="0" w:space="0" w:color="auto"/>
                  </w:divBdr>
                </w:div>
                <w:div w:id="234165099">
                  <w:marLeft w:val="1440"/>
                  <w:marRight w:val="0"/>
                  <w:marTop w:val="0"/>
                  <w:marBottom w:val="101"/>
                  <w:divBdr>
                    <w:top w:val="none" w:sz="0" w:space="0" w:color="auto"/>
                    <w:left w:val="none" w:sz="0" w:space="0" w:color="auto"/>
                    <w:bottom w:val="none" w:sz="0" w:space="0" w:color="auto"/>
                    <w:right w:val="none" w:sz="0" w:space="0" w:color="auto"/>
                  </w:divBdr>
                </w:div>
                <w:div w:id="2030569588">
                  <w:marLeft w:val="1440"/>
                  <w:marRight w:val="0"/>
                  <w:marTop w:val="0"/>
                  <w:marBottom w:val="101"/>
                  <w:divBdr>
                    <w:top w:val="none" w:sz="0" w:space="0" w:color="auto"/>
                    <w:left w:val="none" w:sz="0" w:space="0" w:color="auto"/>
                    <w:bottom w:val="none" w:sz="0" w:space="0" w:color="auto"/>
                    <w:right w:val="none" w:sz="0" w:space="0" w:color="auto"/>
                  </w:divBdr>
                </w:div>
                <w:div w:id="1646006332">
                  <w:marLeft w:val="1440"/>
                  <w:marRight w:val="0"/>
                  <w:marTop w:val="0"/>
                  <w:marBottom w:val="101"/>
                  <w:divBdr>
                    <w:top w:val="none" w:sz="0" w:space="0" w:color="auto"/>
                    <w:left w:val="none" w:sz="0" w:space="0" w:color="auto"/>
                    <w:bottom w:val="none" w:sz="0" w:space="0" w:color="auto"/>
                    <w:right w:val="none" w:sz="0" w:space="0" w:color="auto"/>
                  </w:divBdr>
                </w:div>
                <w:div w:id="1487471330">
                  <w:marLeft w:val="1440"/>
                  <w:marRight w:val="0"/>
                  <w:marTop w:val="0"/>
                  <w:marBottom w:val="101"/>
                  <w:divBdr>
                    <w:top w:val="none" w:sz="0" w:space="0" w:color="auto"/>
                    <w:left w:val="none" w:sz="0" w:space="0" w:color="auto"/>
                    <w:bottom w:val="none" w:sz="0" w:space="0" w:color="auto"/>
                    <w:right w:val="none" w:sz="0" w:space="0" w:color="auto"/>
                  </w:divBdr>
                </w:div>
                <w:div w:id="605961728">
                  <w:marLeft w:val="1440"/>
                  <w:marRight w:val="0"/>
                  <w:marTop w:val="0"/>
                  <w:marBottom w:val="101"/>
                  <w:divBdr>
                    <w:top w:val="none" w:sz="0" w:space="0" w:color="auto"/>
                    <w:left w:val="none" w:sz="0" w:space="0" w:color="auto"/>
                    <w:bottom w:val="none" w:sz="0" w:space="0" w:color="auto"/>
                    <w:right w:val="none" w:sz="0" w:space="0" w:color="auto"/>
                  </w:divBdr>
                </w:div>
                <w:div w:id="391470861">
                  <w:marLeft w:val="1440"/>
                  <w:marRight w:val="0"/>
                  <w:marTop w:val="0"/>
                  <w:marBottom w:val="101"/>
                  <w:divBdr>
                    <w:top w:val="none" w:sz="0" w:space="0" w:color="auto"/>
                    <w:left w:val="none" w:sz="0" w:space="0" w:color="auto"/>
                    <w:bottom w:val="none" w:sz="0" w:space="0" w:color="auto"/>
                    <w:right w:val="none" w:sz="0" w:space="0" w:color="auto"/>
                  </w:divBdr>
                </w:div>
                <w:div w:id="139275946">
                  <w:marLeft w:val="1440"/>
                  <w:marRight w:val="0"/>
                  <w:marTop w:val="0"/>
                  <w:marBottom w:val="101"/>
                  <w:divBdr>
                    <w:top w:val="none" w:sz="0" w:space="0" w:color="auto"/>
                    <w:left w:val="none" w:sz="0" w:space="0" w:color="auto"/>
                    <w:bottom w:val="none" w:sz="0" w:space="0" w:color="auto"/>
                    <w:right w:val="none" w:sz="0" w:space="0" w:color="auto"/>
                  </w:divBdr>
                </w:div>
                <w:div w:id="874198410">
                  <w:marLeft w:val="1440"/>
                  <w:marRight w:val="0"/>
                  <w:marTop w:val="0"/>
                  <w:marBottom w:val="101"/>
                  <w:divBdr>
                    <w:top w:val="none" w:sz="0" w:space="0" w:color="auto"/>
                    <w:left w:val="none" w:sz="0" w:space="0" w:color="auto"/>
                    <w:bottom w:val="none" w:sz="0" w:space="0" w:color="auto"/>
                    <w:right w:val="none" w:sz="0" w:space="0" w:color="auto"/>
                  </w:divBdr>
                </w:div>
                <w:div w:id="2030256854">
                  <w:marLeft w:val="1440"/>
                  <w:marRight w:val="0"/>
                  <w:marTop w:val="0"/>
                  <w:marBottom w:val="101"/>
                  <w:divBdr>
                    <w:top w:val="none" w:sz="0" w:space="0" w:color="auto"/>
                    <w:left w:val="none" w:sz="0" w:space="0" w:color="auto"/>
                    <w:bottom w:val="none" w:sz="0" w:space="0" w:color="auto"/>
                    <w:right w:val="none" w:sz="0" w:space="0" w:color="auto"/>
                  </w:divBdr>
                </w:div>
                <w:div w:id="874467769">
                  <w:marLeft w:val="1440"/>
                  <w:marRight w:val="0"/>
                  <w:marTop w:val="0"/>
                  <w:marBottom w:val="101"/>
                  <w:divBdr>
                    <w:top w:val="none" w:sz="0" w:space="0" w:color="auto"/>
                    <w:left w:val="none" w:sz="0" w:space="0" w:color="auto"/>
                    <w:bottom w:val="none" w:sz="0" w:space="0" w:color="auto"/>
                    <w:right w:val="none" w:sz="0" w:space="0" w:color="auto"/>
                  </w:divBdr>
                </w:div>
                <w:div w:id="1238858474">
                  <w:marLeft w:val="1440"/>
                  <w:marRight w:val="0"/>
                  <w:marTop w:val="0"/>
                  <w:marBottom w:val="101"/>
                  <w:divBdr>
                    <w:top w:val="none" w:sz="0" w:space="0" w:color="auto"/>
                    <w:left w:val="none" w:sz="0" w:space="0" w:color="auto"/>
                    <w:bottom w:val="none" w:sz="0" w:space="0" w:color="auto"/>
                    <w:right w:val="none" w:sz="0" w:space="0" w:color="auto"/>
                  </w:divBdr>
                </w:div>
                <w:div w:id="313223132">
                  <w:marLeft w:val="1440"/>
                  <w:marRight w:val="0"/>
                  <w:marTop w:val="0"/>
                  <w:marBottom w:val="101"/>
                  <w:divBdr>
                    <w:top w:val="none" w:sz="0" w:space="0" w:color="auto"/>
                    <w:left w:val="none" w:sz="0" w:space="0" w:color="auto"/>
                    <w:bottom w:val="none" w:sz="0" w:space="0" w:color="auto"/>
                    <w:right w:val="none" w:sz="0" w:space="0" w:color="auto"/>
                  </w:divBdr>
                </w:div>
                <w:div w:id="2082022360">
                  <w:marLeft w:val="1440"/>
                  <w:marRight w:val="0"/>
                  <w:marTop w:val="0"/>
                  <w:marBottom w:val="101"/>
                  <w:divBdr>
                    <w:top w:val="none" w:sz="0" w:space="0" w:color="auto"/>
                    <w:left w:val="none" w:sz="0" w:space="0" w:color="auto"/>
                    <w:bottom w:val="none" w:sz="0" w:space="0" w:color="auto"/>
                    <w:right w:val="none" w:sz="0" w:space="0" w:color="auto"/>
                  </w:divBdr>
                </w:div>
                <w:div w:id="614017802">
                  <w:marLeft w:val="1440"/>
                  <w:marRight w:val="0"/>
                  <w:marTop w:val="0"/>
                  <w:marBottom w:val="101"/>
                  <w:divBdr>
                    <w:top w:val="none" w:sz="0" w:space="0" w:color="auto"/>
                    <w:left w:val="none" w:sz="0" w:space="0" w:color="auto"/>
                    <w:bottom w:val="none" w:sz="0" w:space="0" w:color="auto"/>
                    <w:right w:val="none" w:sz="0" w:space="0" w:color="auto"/>
                  </w:divBdr>
                </w:div>
                <w:div w:id="776221410">
                  <w:marLeft w:val="1440"/>
                  <w:marRight w:val="0"/>
                  <w:marTop w:val="0"/>
                  <w:marBottom w:val="101"/>
                  <w:divBdr>
                    <w:top w:val="none" w:sz="0" w:space="0" w:color="auto"/>
                    <w:left w:val="none" w:sz="0" w:space="0" w:color="auto"/>
                    <w:bottom w:val="none" w:sz="0" w:space="0" w:color="auto"/>
                    <w:right w:val="none" w:sz="0" w:space="0" w:color="auto"/>
                  </w:divBdr>
                </w:div>
                <w:div w:id="742142230">
                  <w:marLeft w:val="1440"/>
                  <w:marRight w:val="0"/>
                  <w:marTop w:val="0"/>
                  <w:marBottom w:val="101"/>
                  <w:divBdr>
                    <w:top w:val="none" w:sz="0" w:space="0" w:color="auto"/>
                    <w:left w:val="none" w:sz="0" w:space="0" w:color="auto"/>
                    <w:bottom w:val="none" w:sz="0" w:space="0" w:color="auto"/>
                    <w:right w:val="none" w:sz="0" w:space="0" w:color="auto"/>
                  </w:divBdr>
                </w:div>
                <w:div w:id="810902065">
                  <w:marLeft w:val="1440"/>
                  <w:marRight w:val="0"/>
                  <w:marTop w:val="0"/>
                  <w:marBottom w:val="101"/>
                  <w:divBdr>
                    <w:top w:val="none" w:sz="0" w:space="0" w:color="auto"/>
                    <w:left w:val="none" w:sz="0" w:space="0" w:color="auto"/>
                    <w:bottom w:val="none" w:sz="0" w:space="0" w:color="auto"/>
                    <w:right w:val="none" w:sz="0" w:space="0" w:color="auto"/>
                  </w:divBdr>
                </w:div>
                <w:div w:id="458112931">
                  <w:marLeft w:val="1440"/>
                  <w:marRight w:val="0"/>
                  <w:marTop w:val="0"/>
                  <w:marBottom w:val="101"/>
                  <w:divBdr>
                    <w:top w:val="none" w:sz="0" w:space="0" w:color="auto"/>
                    <w:left w:val="none" w:sz="0" w:space="0" w:color="auto"/>
                    <w:bottom w:val="none" w:sz="0" w:space="0" w:color="auto"/>
                    <w:right w:val="none" w:sz="0" w:space="0" w:color="auto"/>
                  </w:divBdr>
                </w:div>
                <w:div w:id="1641424395">
                  <w:marLeft w:val="1440"/>
                  <w:marRight w:val="0"/>
                  <w:marTop w:val="0"/>
                  <w:marBottom w:val="101"/>
                  <w:divBdr>
                    <w:top w:val="none" w:sz="0" w:space="0" w:color="auto"/>
                    <w:left w:val="none" w:sz="0" w:space="0" w:color="auto"/>
                    <w:bottom w:val="none" w:sz="0" w:space="0" w:color="auto"/>
                    <w:right w:val="none" w:sz="0" w:space="0" w:color="auto"/>
                  </w:divBdr>
                </w:div>
                <w:div w:id="384260307">
                  <w:marLeft w:val="2160"/>
                  <w:marRight w:val="0"/>
                  <w:marTop w:val="0"/>
                  <w:marBottom w:val="101"/>
                  <w:divBdr>
                    <w:top w:val="none" w:sz="0" w:space="0" w:color="auto"/>
                    <w:left w:val="none" w:sz="0" w:space="0" w:color="auto"/>
                    <w:bottom w:val="none" w:sz="0" w:space="0" w:color="auto"/>
                    <w:right w:val="none" w:sz="0" w:space="0" w:color="auto"/>
                  </w:divBdr>
                </w:div>
                <w:div w:id="1228347072">
                  <w:marLeft w:val="2592"/>
                  <w:marRight w:val="0"/>
                  <w:marTop w:val="0"/>
                  <w:marBottom w:val="101"/>
                  <w:divBdr>
                    <w:top w:val="none" w:sz="0" w:space="0" w:color="auto"/>
                    <w:left w:val="none" w:sz="0" w:space="0" w:color="auto"/>
                    <w:bottom w:val="none" w:sz="0" w:space="0" w:color="auto"/>
                    <w:right w:val="none" w:sz="0" w:space="0" w:color="auto"/>
                  </w:divBdr>
                </w:div>
                <w:div w:id="1297831575">
                  <w:marLeft w:val="2592"/>
                  <w:marRight w:val="0"/>
                  <w:marTop w:val="0"/>
                  <w:marBottom w:val="101"/>
                  <w:divBdr>
                    <w:top w:val="none" w:sz="0" w:space="0" w:color="auto"/>
                    <w:left w:val="none" w:sz="0" w:space="0" w:color="auto"/>
                    <w:bottom w:val="none" w:sz="0" w:space="0" w:color="auto"/>
                    <w:right w:val="none" w:sz="0" w:space="0" w:color="auto"/>
                  </w:divBdr>
                </w:div>
                <w:div w:id="214124198">
                  <w:marLeft w:val="3024"/>
                  <w:marRight w:val="0"/>
                  <w:marTop w:val="0"/>
                  <w:marBottom w:val="101"/>
                  <w:divBdr>
                    <w:top w:val="none" w:sz="0" w:space="0" w:color="auto"/>
                    <w:left w:val="none" w:sz="0" w:space="0" w:color="auto"/>
                    <w:bottom w:val="none" w:sz="0" w:space="0" w:color="auto"/>
                    <w:right w:val="none" w:sz="0" w:space="0" w:color="auto"/>
                  </w:divBdr>
                </w:div>
                <w:div w:id="1741517970">
                  <w:marLeft w:val="2592"/>
                  <w:marRight w:val="0"/>
                  <w:marTop w:val="0"/>
                  <w:marBottom w:val="101"/>
                  <w:divBdr>
                    <w:top w:val="none" w:sz="0" w:space="0" w:color="auto"/>
                    <w:left w:val="none" w:sz="0" w:space="0" w:color="auto"/>
                    <w:bottom w:val="none" w:sz="0" w:space="0" w:color="auto"/>
                    <w:right w:val="none" w:sz="0" w:space="0" w:color="auto"/>
                  </w:divBdr>
                </w:div>
                <w:div w:id="942106955">
                  <w:marLeft w:val="1440"/>
                  <w:marRight w:val="0"/>
                  <w:marTop w:val="0"/>
                  <w:marBottom w:val="101"/>
                  <w:divBdr>
                    <w:top w:val="none" w:sz="0" w:space="0" w:color="auto"/>
                    <w:left w:val="none" w:sz="0" w:space="0" w:color="auto"/>
                    <w:bottom w:val="none" w:sz="0" w:space="0" w:color="auto"/>
                    <w:right w:val="none" w:sz="0" w:space="0" w:color="auto"/>
                  </w:divBdr>
                </w:div>
                <w:div w:id="198512595">
                  <w:marLeft w:val="1440"/>
                  <w:marRight w:val="0"/>
                  <w:marTop w:val="0"/>
                  <w:marBottom w:val="101"/>
                  <w:divBdr>
                    <w:top w:val="none" w:sz="0" w:space="0" w:color="auto"/>
                    <w:left w:val="none" w:sz="0" w:space="0" w:color="auto"/>
                    <w:bottom w:val="none" w:sz="0" w:space="0" w:color="auto"/>
                    <w:right w:val="none" w:sz="0" w:space="0" w:color="auto"/>
                  </w:divBdr>
                </w:div>
                <w:div w:id="808940162">
                  <w:marLeft w:val="1440"/>
                  <w:marRight w:val="0"/>
                  <w:marTop w:val="0"/>
                  <w:marBottom w:val="101"/>
                  <w:divBdr>
                    <w:top w:val="none" w:sz="0" w:space="0" w:color="auto"/>
                    <w:left w:val="none" w:sz="0" w:space="0" w:color="auto"/>
                    <w:bottom w:val="none" w:sz="0" w:space="0" w:color="auto"/>
                    <w:right w:val="none" w:sz="0" w:space="0" w:color="auto"/>
                  </w:divBdr>
                </w:div>
                <w:div w:id="134613915">
                  <w:marLeft w:val="1440"/>
                  <w:marRight w:val="0"/>
                  <w:marTop w:val="0"/>
                  <w:marBottom w:val="101"/>
                  <w:divBdr>
                    <w:top w:val="none" w:sz="0" w:space="0" w:color="auto"/>
                    <w:left w:val="none" w:sz="0" w:space="0" w:color="auto"/>
                    <w:bottom w:val="none" w:sz="0" w:space="0" w:color="auto"/>
                    <w:right w:val="none" w:sz="0" w:space="0" w:color="auto"/>
                  </w:divBdr>
                </w:div>
                <w:div w:id="960037886">
                  <w:marLeft w:val="2160"/>
                  <w:marRight w:val="0"/>
                  <w:marTop w:val="0"/>
                  <w:marBottom w:val="101"/>
                  <w:divBdr>
                    <w:top w:val="none" w:sz="0" w:space="0" w:color="auto"/>
                    <w:left w:val="none" w:sz="0" w:space="0" w:color="auto"/>
                    <w:bottom w:val="none" w:sz="0" w:space="0" w:color="auto"/>
                    <w:right w:val="none" w:sz="0" w:space="0" w:color="auto"/>
                  </w:divBdr>
                </w:div>
                <w:div w:id="1030451814">
                  <w:marLeft w:val="2592"/>
                  <w:marRight w:val="0"/>
                  <w:marTop w:val="0"/>
                  <w:marBottom w:val="101"/>
                  <w:divBdr>
                    <w:top w:val="none" w:sz="0" w:space="0" w:color="auto"/>
                    <w:left w:val="none" w:sz="0" w:space="0" w:color="auto"/>
                    <w:bottom w:val="none" w:sz="0" w:space="0" w:color="auto"/>
                    <w:right w:val="none" w:sz="0" w:space="0" w:color="auto"/>
                  </w:divBdr>
                </w:div>
                <w:div w:id="1408042372">
                  <w:marLeft w:val="2592"/>
                  <w:marRight w:val="0"/>
                  <w:marTop w:val="0"/>
                  <w:marBottom w:val="101"/>
                  <w:divBdr>
                    <w:top w:val="none" w:sz="0" w:space="0" w:color="auto"/>
                    <w:left w:val="none" w:sz="0" w:space="0" w:color="auto"/>
                    <w:bottom w:val="none" w:sz="0" w:space="0" w:color="auto"/>
                    <w:right w:val="none" w:sz="0" w:space="0" w:color="auto"/>
                  </w:divBdr>
                </w:div>
                <w:div w:id="328337544">
                  <w:marLeft w:val="1440"/>
                  <w:marRight w:val="0"/>
                  <w:marTop w:val="0"/>
                  <w:marBottom w:val="101"/>
                  <w:divBdr>
                    <w:top w:val="none" w:sz="0" w:space="0" w:color="auto"/>
                    <w:left w:val="none" w:sz="0" w:space="0" w:color="auto"/>
                    <w:bottom w:val="none" w:sz="0" w:space="0" w:color="auto"/>
                    <w:right w:val="none" w:sz="0" w:space="0" w:color="auto"/>
                  </w:divBdr>
                </w:div>
                <w:div w:id="1358703352">
                  <w:marLeft w:val="2160"/>
                  <w:marRight w:val="0"/>
                  <w:marTop w:val="0"/>
                  <w:marBottom w:val="101"/>
                  <w:divBdr>
                    <w:top w:val="none" w:sz="0" w:space="0" w:color="auto"/>
                    <w:left w:val="none" w:sz="0" w:space="0" w:color="auto"/>
                    <w:bottom w:val="none" w:sz="0" w:space="0" w:color="auto"/>
                    <w:right w:val="none" w:sz="0" w:space="0" w:color="auto"/>
                  </w:divBdr>
                </w:div>
                <w:div w:id="1854412642">
                  <w:marLeft w:val="1440"/>
                  <w:marRight w:val="0"/>
                  <w:marTop w:val="0"/>
                  <w:marBottom w:val="101"/>
                  <w:divBdr>
                    <w:top w:val="none" w:sz="0" w:space="0" w:color="auto"/>
                    <w:left w:val="none" w:sz="0" w:space="0" w:color="auto"/>
                    <w:bottom w:val="none" w:sz="0" w:space="0" w:color="auto"/>
                    <w:right w:val="none" w:sz="0" w:space="0" w:color="auto"/>
                  </w:divBdr>
                </w:div>
                <w:div w:id="356931296">
                  <w:marLeft w:val="1440"/>
                  <w:marRight w:val="0"/>
                  <w:marTop w:val="0"/>
                  <w:marBottom w:val="101"/>
                  <w:divBdr>
                    <w:top w:val="none" w:sz="0" w:space="0" w:color="auto"/>
                    <w:left w:val="none" w:sz="0" w:space="0" w:color="auto"/>
                    <w:bottom w:val="none" w:sz="0" w:space="0" w:color="auto"/>
                    <w:right w:val="none" w:sz="0" w:space="0" w:color="auto"/>
                  </w:divBdr>
                </w:div>
                <w:div w:id="1874732479">
                  <w:marLeft w:val="1440"/>
                  <w:marRight w:val="0"/>
                  <w:marTop w:val="0"/>
                  <w:marBottom w:val="101"/>
                  <w:divBdr>
                    <w:top w:val="none" w:sz="0" w:space="0" w:color="auto"/>
                    <w:left w:val="none" w:sz="0" w:space="0" w:color="auto"/>
                    <w:bottom w:val="none" w:sz="0" w:space="0" w:color="auto"/>
                    <w:right w:val="none" w:sz="0" w:space="0" w:color="auto"/>
                  </w:divBdr>
                </w:div>
                <w:div w:id="866211266">
                  <w:marLeft w:val="1440"/>
                  <w:marRight w:val="0"/>
                  <w:marTop w:val="0"/>
                  <w:marBottom w:val="101"/>
                  <w:divBdr>
                    <w:top w:val="none" w:sz="0" w:space="0" w:color="auto"/>
                    <w:left w:val="none" w:sz="0" w:space="0" w:color="auto"/>
                    <w:bottom w:val="none" w:sz="0" w:space="0" w:color="auto"/>
                    <w:right w:val="none" w:sz="0" w:space="0" w:color="auto"/>
                  </w:divBdr>
                </w:div>
                <w:div w:id="459958721">
                  <w:marLeft w:val="1440"/>
                  <w:marRight w:val="0"/>
                  <w:marTop w:val="0"/>
                  <w:marBottom w:val="101"/>
                  <w:divBdr>
                    <w:top w:val="none" w:sz="0" w:space="0" w:color="auto"/>
                    <w:left w:val="none" w:sz="0" w:space="0" w:color="auto"/>
                    <w:bottom w:val="none" w:sz="0" w:space="0" w:color="auto"/>
                    <w:right w:val="none" w:sz="0" w:space="0" w:color="auto"/>
                  </w:divBdr>
                </w:div>
                <w:div w:id="735011415">
                  <w:marLeft w:val="1440"/>
                  <w:marRight w:val="0"/>
                  <w:marTop w:val="0"/>
                  <w:marBottom w:val="101"/>
                  <w:divBdr>
                    <w:top w:val="none" w:sz="0" w:space="0" w:color="auto"/>
                    <w:left w:val="none" w:sz="0" w:space="0" w:color="auto"/>
                    <w:bottom w:val="none" w:sz="0" w:space="0" w:color="auto"/>
                    <w:right w:val="none" w:sz="0" w:space="0" w:color="auto"/>
                  </w:divBdr>
                </w:div>
                <w:div w:id="1437094600">
                  <w:marLeft w:val="1440"/>
                  <w:marRight w:val="0"/>
                  <w:marTop w:val="0"/>
                  <w:marBottom w:val="101"/>
                  <w:divBdr>
                    <w:top w:val="none" w:sz="0" w:space="0" w:color="auto"/>
                    <w:left w:val="none" w:sz="0" w:space="0" w:color="auto"/>
                    <w:bottom w:val="none" w:sz="0" w:space="0" w:color="auto"/>
                    <w:right w:val="none" w:sz="0" w:space="0" w:color="auto"/>
                  </w:divBdr>
                </w:div>
                <w:div w:id="1782139707">
                  <w:marLeft w:val="1440"/>
                  <w:marRight w:val="0"/>
                  <w:marTop w:val="0"/>
                  <w:marBottom w:val="101"/>
                  <w:divBdr>
                    <w:top w:val="none" w:sz="0" w:space="0" w:color="auto"/>
                    <w:left w:val="none" w:sz="0" w:space="0" w:color="auto"/>
                    <w:bottom w:val="none" w:sz="0" w:space="0" w:color="auto"/>
                    <w:right w:val="none" w:sz="0" w:space="0" w:color="auto"/>
                  </w:divBdr>
                </w:div>
                <w:div w:id="783842013">
                  <w:marLeft w:val="1440"/>
                  <w:marRight w:val="0"/>
                  <w:marTop w:val="0"/>
                  <w:marBottom w:val="101"/>
                  <w:divBdr>
                    <w:top w:val="none" w:sz="0" w:space="0" w:color="auto"/>
                    <w:left w:val="none" w:sz="0" w:space="0" w:color="auto"/>
                    <w:bottom w:val="none" w:sz="0" w:space="0" w:color="auto"/>
                    <w:right w:val="none" w:sz="0" w:space="0" w:color="auto"/>
                  </w:divBdr>
                </w:div>
                <w:div w:id="405225639">
                  <w:marLeft w:val="1440"/>
                  <w:marRight w:val="0"/>
                  <w:marTop w:val="0"/>
                  <w:marBottom w:val="101"/>
                  <w:divBdr>
                    <w:top w:val="none" w:sz="0" w:space="0" w:color="auto"/>
                    <w:left w:val="none" w:sz="0" w:space="0" w:color="auto"/>
                    <w:bottom w:val="none" w:sz="0" w:space="0" w:color="auto"/>
                    <w:right w:val="none" w:sz="0" w:space="0" w:color="auto"/>
                  </w:divBdr>
                </w:div>
                <w:div w:id="1741177829">
                  <w:marLeft w:val="1440"/>
                  <w:marRight w:val="0"/>
                  <w:marTop w:val="0"/>
                  <w:marBottom w:val="101"/>
                  <w:divBdr>
                    <w:top w:val="none" w:sz="0" w:space="0" w:color="auto"/>
                    <w:left w:val="none" w:sz="0" w:space="0" w:color="auto"/>
                    <w:bottom w:val="none" w:sz="0" w:space="0" w:color="auto"/>
                    <w:right w:val="none" w:sz="0" w:space="0" w:color="auto"/>
                  </w:divBdr>
                </w:div>
                <w:div w:id="1372876474">
                  <w:marLeft w:val="1440"/>
                  <w:marRight w:val="0"/>
                  <w:marTop w:val="0"/>
                  <w:marBottom w:val="101"/>
                  <w:divBdr>
                    <w:top w:val="none" w:sz="0" w:space="0" w:color="auto"/>
                    <w:left w:val="none" w:sz="0" w:space="0" w:color="auto"/>
                    <w:bottom w:val="none" w:sz="0" w:space="0" w:color="auto"/>
                    <w:right w:val="none" w:sz="0" w:space="0" w:color="auto"/>
                  </w:divBdr>
                </w:div>
                <w:div w:id="132598336">
                  <w:marLeft w:val="1440"/>
                  <w:marRight w:val="0"/>
                  <w:marTop w:val="0"/>
                  <w:marBottom w:val="101"/>
                  <w:divBdr>
                    <w:top w:val="none" w:sz="0" w:space="0" w:color="auto"/>
                    <w:left w:val="none" w:sz="0" w:space="0" w:color="auto"/>
                    <w:bottom w:val="none" w:sz="0" w:space="0" w:color="auto"/>
                    <w:right w:val="none" w:sz="0" w:space="0" w:color="auto"/>
                  </w:divBdr>
                </w:div>
                <w:div w:id="677587767">
                  <w:marLeft w:val="1440"/>
                  <w:marRight w:val="0"/>
                  <w:marTop w:val="0"/>
                  <w:marBottom w:val="101"/>
                  <w:divBdr>
                    <w:top w:val="none" w:sz="0" w:space="0" w:color="auto"/>
                    <w:left w:val="none" w:sz="0" w:space="0" w:color="auto"/>
                    <w:bottom w:val="none" w:sz="0" w:space="0" w:color="auto"/>
                    <w:right w:val="none" w:sz="0" w:space="0" w:color="auto"/>
                  </w:divBdr>
                </w:div>
                <w:div w:id="1956717228">
                  <w:marLeft w:val="1440"/>
                  <w:marRight w:val="0"/>
                  <w:marTop w:val="0"/>
                  <w:marBottom w:val="101"/>
                  <w:divBdr>
                    <w:top w:val="none" w:sz="0" w:space="0" w:color="auto"/>
                    <w:left w:val="none" w:sz="0" w:space="0" w:color="auto"/>
                    <w:bottom w:val="none" w:sz="0" w:space="0" w:color="auto"/>
                    <w:right w:val="none" w:sz="0" w:space="0" w:color="auto"/>
                  </w:divBdr>
                </w:div>
                <w:div w:id="554463696">
                  <w:marLeft w:val="1440"/>
                  <w:marRight w:val="0"/>
                  <w:marTop w:val="0"/>
                  <w:marBottom w:val="101"/>
                  <w:divBdr>
                    <w:top w:val="none" w:sz="0" w:space="0" w:color="auto"/>
                    <w:left w:val="none" w:sz="0" w:space="0" w:color="auto"/>
                    <w:bottom w:val="none" w:sz="0" w:space="0" w:color="auto"/>
                    <w:right w:val="none" w:sz="0" w:space="0" w:color="auto"/>
                  </w:divBdr>
                </w:div>
                <w:div w:id="1392539344">
                  <w:marLeft w:val="1440"/>
                  <w:marRight w:val="0"/>
                  <w:marTop w:val="0"/>
                  <w:marBottom w:val="101"/>
                  <w:divBdr>
                    <w:top w:val="none" w:sz="0" w:space="0" w:color="auto"/>
                    <w:left w:val="none" w:sz="0" w:space="0" w:color="auto"/>
                    <w:bottom w:val="none" w:sz="0" w:space="0" w:color="auto"/>
                    <w:right w:val="none" w:sz="0" w:space="0" w:color="auto"/>
                  </w:divBdr>
                </w:div>
                <w:div w:id="595331437">
                  <w:marLeft w:val="1440"/>
                  <w:marRight w:val="0"/>
                  <w:marTop w:val="0"/>
                  <w:marBottom w:val="101"/>
                  <w:divBdr>
                    <w:top w:val="none" w:sz="0" w:space="0" w:color="auto"/>
                    <w:left w:val="none" w:sz="0" w:space="0" w:color="auto"/>
                    <w:bottom w:val="none" w:sz="0" w:space="0" w:color="auto"/>
                    <w:right w:val="none" w:sz="0" w:space="0" w:color="auto"/>
                  </w:divBdr>
                </w:div>
                <w:div w:id="743068620">
                  <w:marLeft w:val="1440"/>
                  <w:marRight w:val="0"/>
                  <w:marTop w:val="0"/>
                  <w:marBottom w:val="101"/>
                  <w:divBdr>
                    <w:top w:val="none" w:sz="0" w:space="0" w:color="auto"/>
                    <w:left w:val="none" w:sz="0" w:space="0" w:color="auto"/>
                    <w:bottom w:val="none" w:sz="0" w:space="0" w:color="auto"/>
                    <w:right w:val="none" w:sz="0" w:space="0" w:color="auto"/>
                  </w:divBdr>
                </w:div>
                <w:div w:id="1424259612">
                  <w:marLeft w:val="2160"/>
                  <w:marRight w:val="0"/>
                  <w:marTop w:val="0"/>
                  <w:marBottom w:val="101"/>
                  <w:divBdr>
                    <w:top w:val="none" w:sz="0" w:space="0" w:color="auto"/>
                    <w:left w:val="none" w:sz="0" w:space="0" w:color="auto"/>
                    <w:bottom w:val="none" w:sz="0" w:space="0" w:color="auto"/>
                    <w:right w:val="none" w:sz="0" w:space="0" w:color="auto"/>
                  </w:divBdr>
                </w:div>
                <w:div w:id="560336192">
                  <w:marLeft w:val="2160"/>
                  <w:marRight w:val="0"/>
                  <w:marTop w:val="0"/>
                  <w:marBottom w:val="101"/>
                  <w:divBdr>
                    <w:top w:val="none" w:sz="0" w:space="0" w:color="auto"/>
                    <w:left w:val="none" w:sz="0" w:space="0" w:color="auto"/>
                    <w:bottom w:val="none" w:sz="0" w:space="0" w:color="auto"/>
                    <w:right w:val="none" w:sz="0" w:space="0" w:color="auto"/>
                  </w:divBdr>
                </w:div>
                <w:div w:id="1396662736">
                  <w:marLeft w:val="2160"/>
                  <w:marRight w:val="0"/>
                  <w:marTop w:val="0"/>
                  <w:marBottom w:val="101"/>
                  <w:divBdr>
                    <w:top w:val="none" w:sz="0" w:space="0" w:color="auto"/>
                    <w:left w:val="none" w:sz="0" w:space="0" w:color="auto"/>
                    <w:bottom w:val="none" w:sz="0" w:space="0" w:color="auto"/>
                    <w:right w:val="none" w:sz="0" w:space="0" w:color="auto"/>
                  </w:divBdr>
                </w:div>
                <w:div w:id="2084526869">
                  <w:marLeft w:val="1440"/>
                  <w:marRight w:val="0"/>
                  <w:marTop w:val="0"/>
                  <w:marBottom w:val="101"/>
                  <w:divBdr>
                    <w:top w:val="none" w:sz="0" w:space="0" w:color="auto"/>
                    <w:left w:val="none" w:sz="0" w:space="0" w:color="auto"/>
                    <w:bottom w:val="none" w:sz="0" w:space="0" w:color="auto"/>
                    <w:right w:val="none" w:sz="0" w:space="0" w:color="auto"/>
                  </w:divBdr>
                </w:div>
                <w:div w:id="1461656168">
                  <w:marLeft w:val="1440"/>
                  <w:marRight w:val="0"/>
                  <w:marTop w:val="0"/>
                  <w:marBottom w:val="101"/>
                  <w:divBdr>
                    <w:top w:val="none" w:sz="0" w:space="0" w:color="auto"/>
                    <w:left w:val="none" w:sz="0" w:space="0" w:color="auto"/>
                    <w:bottom w:val="none" w:sz="0" w:space="0" w:color="auto"/>
                    <w:right w:val="none" w:sz="0" w:space="0" w:color="auto"/>
                  </w:divBdr>
                </w:div>
                <w:div w:id="425537204">
                  <w:marLeft w:val="1440"/>
                  <w:marRight w:val="0"/>
                  <w:marTop w:val="0"/>
                  <w:marBottom w:val="101"/>
                  <w:divBdr>
                    <w:top w:val="none" w:sz="0" w:space="0" w:color="auto"/>
                    <w:left w:val="none" w:sz="0" w:space="0" w:color="auto"/>
                    <w:bottom w:val="none" w:sz="0" w:space="0" w:color="auto"/>
                    <w:right w:val="none" w:sz="0" w:space="0" w:color="auto"/>
                  </w:divBdr>
                </w:div>
                <w:div w:id="931428582">
                  <w:marLeft w:val="1440"/>
                  <w:marRight w:val="0"/>
                  <w:marTop w:val="0"/>
                  <w:marBottom w:val="101"/>
                  <w:divBdr>
                    <w:top w:val="none" w:sz="0" w:space="0" w:color="auto"/>
                    <w:left w:val="none" w:sz="0" w:space="0" w:color="auto"/>
                    <w:bottom w:val="none" w:sz="0" w:space="0" w:color="auto"/>
                    <w:right w:val="none" w:sz="0" w:space="0" w:color="auto"/>
                  </w:divBdr>
                </w:div>
                <w:div w:id="940139898">
                  <w:marLeft w:val="1440"/>
                  <w:marRight w:val="0"/>
                  <w:marTop w:val="0"/>
                  <w:marBottom w:val="101"/>
                  <w:divBdr>
                    <w:top w:val="none" w:sz="0" w:space="0" w:color="auto"/>
                    <w:left w:val="none" w:sz="0" w:space="0" w:color="auto"/>
                    <w:bottom w:val="none" w:sz="0" w:space="0" w:color="auto"/>
                    <w:right w:val="none" w:sz="0" w:space="0" w:color="auto"/>
                  </w:divBdr>
                </w:div>
                <w:div w:id="830484274">
                  <w:marLeft w:val="1440"/>
                  <w:marRight w:val="0"/>
                  <w:marTop w:val="0"/>
                  <w:marBottom w:val="101"/>
                  <w:divBdr>
                    <w:top w:val="none" w:sz="0" w:space="0" w:color="auto"/>
                    <w:left w:val="none" w:sz="0" w:space="0" w:color="auto"/>
                    <w:bottom w:val="none" w:sz="0" w:space="0" w:color="auto"/>
                    <w:right w:val="none" w:sz="0" w:space="0" w:color="auto"/>
                  </w:divBdr>
                </w:div>
                <w:div w:id="826745374">
                  <w:marLeft w:val="2160"/>
                  <w:marRight w:val="0"/>
                  <w:marTop w:val="0"/>
                  <w:marBottom w:val="101"/>
                  <w:divBdr>
                    <w:top w:val="none" w:sz="0" w:space="0" w:color="auto"/>
                    <w:left w:val="none" w:sz="0" w:space="0" w:color="auto"/>
                    <w:bottom w:val="none" w:sz="0" w:space="0" w:color="auto"/>
                    <w:right w:val="none" w:sz="0" w:space="0" w:color="auto"/>
                  </w:divBdr>
                </w:div>
                <w:div w:id="1846050211">
                  <w:marLeft w:val="1440"/>
                  <w:marRight w:val="0"/>
                  <w:marTop w:val="0"/>
                  <w:marBottom w:val="101"/>
                  <w:divBdr>
                    <w:top w:val="none" w:sz="0" w:space="0" w:color="auto"/>
                    <w:left w:val="none" w:sz="0" w:space="0" w:color="auto"/>
                    <w:bottom w:val="none" w:sz="0" w:space="0" w:color="auto"/>
                    <w:right w:val="none" w:sz="0" w:space="0" w:color="auto"/>
                  </w:divBdr>
                </w:div>
                <w:div w:id="252008090">
                  <w:marLeft w:val="1440"/>
                  <w:marRight w:val="0"/>
                  <w:marTop w:val="0"/>
                  <w:marBottom w:val="101"/>
                  <w:divBdr>
                    <w:top w:val="none" w:sz="0" w:space="0" w:color="auto"/>
                    <w:left w:val="none" w:sz="0" w:space="0" w:color="auto"/>
                    <w:bottom w:val="none" w:sz="0" w:space="0" w:color="auto"/>
                    <w:right w:val="none" w:sz="0" w:space="0" w:color="auto"/>
                  </w:divBdr>
                </w:div>
                <w:div w:id="1708799220">
                  <w:marLeft w:val="1440"/>
                  <w:marRight w:val="0"/>
                  <w:marTop w:val="0"/>
                  <w:marBottom w:val="101"/>
                  <w:divBdr>
                    <w:top w:val="none" w:sz="0" w:space="0" w:color="auto"/>
                    <w:left w:val="none" w:sz="0" w:space="0" w:color="auto"/>
                    <w:bottom w:val="none" w:sz="0" w:space="0" w:color="auto"/>
                    <w:right w:val="none" w:sz="0" w:space="0" w:color="auto"/>
                  </w:divBdr>
                </w:div>
                <w:div w:id="460877971">
                  <w:marLeft w:val="2160"/>
                  <w:marRight w:val="0"/>
                  <w:marTop w:val="0"/>
                  <w:marBottom w:val="101"/>
                  <w:divBdr>
                    <w:top w:val="none" w:sz="0" w:space="0" w:color="auto"/>
                    <w:left w:val="none" w:sz="0" w:space="0" w:color="auto"/>
                    <w:bottom w:val="none" w:sz="0" w:space="0" w:color="auto"/>
                    <w:right w:val="none" w:sz="0" w:space="0" w:color="auto"/>
                  </w:divBdr>
                </w:div>
                <w:div w:id="1782383289">
                  <w:marLeft w:val="2592"/>
                  <w:marRight w:val="0"/>
                  <w:marTop w:val="0"/>
                  <w:marBottom w:val="101"/>
                  <w:divBdr>
                    <w:top w:val="none" w:sz="0" w:space="0" w:color="auto"/>
                    <w:left w:val="none" w:sz="0" w:space="0" w:color="auto"/>
                    <w:bottom w:val="none" w:sz="0" w:space="0" w:color="auto"/>
                    <w:right w:val="none" w:sz="0" w:space="0" w:color="auto"/>
                  </w:divBdr>
                </w:div>
                <w:div w:id="1875384629">
                  <w:marLeft w:val="2592"/>
                  <w:marRight w:val="0"/>
                  <w:marTop w:val="0"/>
                  <w:marBottom w:val="101"/>
                  <w:divBdr>
                    <w:top w:val="none" w:sz="0" w:space="0" w:color="auto"/>
                    <w:left w:val="none" w:sz="0" w:space="0" w:color="auto"/>
                    <w:bottom w:val="none" w:sz="0" w:space="0" w:color="auto"/>
                    <w:right w:val="none" w:sz="0" w:space="0" w:color="auto"/>
                  </w:divBdr>
                </w:div>
                <w:div w:id="675420455">
                  <w:marLeft w:val="2592"/>
                  <w:marRight w:val="0"/>
                  <w:marTop w:val="0"/>
                  <w:marBottom w:val="101"/>
                  <w:divBdr>
                    <w:top w:val="none" w:sz="0" w:space="0" w:color="auto"/>
                    <w:left w:val="none" w:sz="0" w:space="0" w:color="auto"/>
                    <w:bottom w:val="none" w:sz="0" w:space="0" w:color="auto"/>
                    <w:right w:val="none" w:sz="0" w:space="0" w:color="auto"/>
                  </w:divBdr>
                </w:div>
                <w:div w:id="1980110438">
                  <w:marLeft w:val="2592"/>
                  <w:marRight w:val="0"/>
                  <w:marTop w:val="0"/>
                  <w:marBottom w:val="101"/>
                  <w:divBdr>
                    <w:top w:val="none" w:sz="0" w:space="0" w:color="auto"/>
                    <w:left w:val="none" w:sz="0" w:space="0" w:color="auto"/>
                    <w:bottom w:val="none" w:sz="0" w:space="0" w:color="auto"/>
                    <w:right w:val="none" w:sz="0" w:space="0" w:color="auto"/>
                  </w:divBdr>
                </w:div>
                <w:div w:id="1367221118">
                  <w:marLeft w:val="2592"/>
                  <w:marRight w:val="0"/>
                  <w:marTop w:val="0"/>
                  <w:marBottom w:val="101"/>
                  <w:divBdr>
                    <w:top w:val="none" w:sz="0" w:space="0" w:color="auto"/>
                    <w:left w:val="none" w:sz="0" w:space="0" w:color="auto"/>
                    <w:bottom w:val="none" w:sz="0" w:space="0" w:color="auto"/>
                    <w:right w:val="none" w:sz="0" w:space="0" w:color="auto"/>
                  </w:divBdr>
                </w:div>
                <w:div w:id="982999952">
                  <w:marLeft w:val="2160"/>
                  <w:marRight w:val="0"/>
                  <w:marTop w:val="0"/>
                  <w:marBottom w:val="101"/>
                  <w:divBdr>
                    <w:top w:val="none" w:sz="0" w:space="0" w:color="auto"/>
                    <w:left w:val="none" w:sz="0" w:space="0" w:color="auto"/>
                    <w:bottom w:val="none" w:sz="0" w:space="0" w:color="auto"/>
                    <w:right w:val="none" w:sz="0" w:space="0" w:color="auto"/>
                  </w:divBdr>
                </w:div>
                <w:div w:id="942611351">
                  <w:marLeft w:val="2592"/>
                  <w:marRight w:val="0"/>
                  <w:marTop w:val="0"/>
                  <w:marBottom w:val="101"/>
                  <w:divBdr>
                    <w:top w:val="none" w:sz="0" w:space="0" w:color="auto"/>
                    <w:left w:val="none" w:sz="0" w:space="0" w:color="auto"/>
                    <w:bottom w:val="none" w:sz="0" w:space="0" w:color="auto"/>
                    <w:right w:val="none" w:sz="0" w:space="0" w:color="auto"/>
                  </w:divBdr>
                </w:div>
                <w:div w:id="1877769336">
                  <w:marLeft w:val="2592"/>
                  <w:marRight w:val="0"/>
                  <w:marTop w:val="0"/>
                  <w:marBottom w:val="101"/>
                  <w:divBdr>
                    <w:top w:val="none" w:sz="0" w:space="0" w:color="auto"/>
                    <w:left w:val="none" w:sz="0" w:space="0" w:color="auto"/>
                    <w:bottom w:val="none" w:sz="0" w:space="0" w:color="auto"/>
                    <w:right w:val="none" w:sz="0" w:space="0" w:color="auto"/>
                  </w:divBdr>
                </w:div>
                <w:div w:id="805246680">
                  <w:marLeft w:val="2592"/>
                  <w:marRight w:val="0"/>
                  <w:marTop w:val="0"/>
                  <w:marBottom w:val="101"/>
                  <w:divBdr>
                    <w:top w:val="none" w:sz="0" w:space="0" w:color="auto"/>
                    <w:left w:val="none" w:sz="0" w:space="0" w:color="auto"/>
                    <w:bottom w:val="none" w:sz="0" w:space="0" w:color="auto"/>
                    <w:right w:val="none" w:sz="0" w:space="0" w:color="auto"/>
                  </w:divBdr>
                </w:div>
                <w:div w:id="1622028102">
                  <w:marLeft w:val="2592"/>
                  <w:marRight w:val="0"/>
                  <w:marTop w:val="0"/>
                  <w:marBottom w:val="101"/>
                  <w:divBdr>
                    <w:top w:val="none" w:sz="0" w:space="0" w:color="auto"/>
                    <w:left w:val="none" w:sz="0" w:space="0" w:color="auto"/>
                    <w:bottom w:val="none" w:sz="0" w:space="0" w:color="auto"/>
                    <w:right w:val="none" w:sz="0" w:space="0" w:color="auto"/>
                  </w:divBdr>
                </w:div>
                <w:div w:id="502473927">
                  <w:marLeft w:val="2160"/>
                  <w:marRight w:val="0"/>
                  <w:marTop w:val="0"/>
                  <w:marBottom w:val="101"/>
                  <w:divBdr>
                    <w:top w:val="none" w:sz="0" w:space="0" w:color="auto"/>
                    <w:left w:val="none" w:sz="0" w:space="0" w:color="auto"/>
                    <w:bottom w:val="none" w:sz="0" w:space="0" w:color="auto"/>
                    <w:right w:val="none" w:sz="0" w:space="0" w:color="auto"/>
                  </w:divBdr>
                </w:div>
                <w:div w:id="2057772707">
                  <w:marLeft w:val="1440"/>
                  <w:marRight w:val="0"/>
                  <w:marTop w:val="0"/>
                  <w:marBottom w:val="101"/>
                  <w:divBdr>
                    <w:top w:val="none" w:sz="0" w:space="0" w:color="auto"/>
                    <w:left w:val="none" w:sz="0" w:space="0" w:color="auto"/>
                    <w:bottom w:val="none" w:sz="0" w:space="0" w:color="auto"/>
                    <w:right w:val="none" w:sz="0" w:space="0" w:color="auto"/>
                  </w:divBdr>
                </w:div>
                <w:div w:id="1487552413">
                  <w:marLeft w:val="1440"/>
                  <w:marRight w:val="0"/>
                  <w:marTop w:val="0"/>
                  <w:marBottom w:val="101"/>
                  <w:divBdr>
                    <w:top w:val="none" w:sz="0" w:space="0" w:color="auto"/>
                    <w:left w:val="none" w:sz="0" w:space="0" w:color="auto"/>
                    <w:bottom w:val="none" w:sz="0" w:space="0" w:color="auto"/>
                    <w:right w:val="none" w:sz="0" w:space="0" w:color="auto"/>
                  </w:divBdr>
                </w:div>
                <w:div w:id="2124113785">
                  <w:marLeft w:val="1440"/>
                  <w:marRight w:val="0"/>
                  <w:marTop w:val="0"/>
                  <w:marBottom w:val="101"/>
                  <w:divBdr>
                    <w:top w:val="none" w:sz="0" w:space="0" w:color="auto"/>
                    <w:left w:val="none" w:sz="0" w:space="0" w:color="auto"/>
                    <w:bottom w:val="none" w:sz="0" w:space="0" w:color="auto"/>
                    <w:right w:val="none" w:sz="0" w:space="0" w:color="auto"/>
                  </w:divBdr>
                </w:div>
                <w:div w:id="745029849">
                  <w:marLeft w:val="1440"/>
                  <w:marRight w:val="0"/>
                  <w:marTop w:val="0"/>
                  <w:marBottom w:val="101"/>
                  <w:divBdr>
                    <w:top w:val="none" w:sz="0" w:space="0" w:color="auto"/>
                    <w:left w:val="none" w:sz="0" w:space="0" w:color="auto"/>
                    <w:bottom w:val="none" w:sz="0" w:space="0" w:color="auto"/>
                    <w:right w:val="none" w:sz="0" w:space="0" w:color="auto"/>
                  </w:divBdr>
                </w:div>
                <w:div w:id="1764036953">
                  <w:marLeft w:val="1440"/>
                  <w:marRight w:val="0"/>
                  <w:marTop w:val="0"/>
                  <w:marBottom w:val="101"/>
                  <w:divBdr>
                    <w:top w:val="none" w:sz="0" w:space="0" w:color="auto"/>
                    <w:left w:val="none" w:sz="0" w:space="0" w:color="auto"/>
                    <w:bottom w:val="none" w:sz="0" w:space="0" w:color="auto"/>
                    <w:right w:val="none" w:sz="0" w:space="0" w:color="auto"/>
                  </w:divBdr>
                </w:div>
                <w:div w:id="435826432">
                  <w:marLeft w:val="1440"/>
                  <w:marRight w:val="0"/>
                  <w:marTop w:val="0"/>
                  <w:marBottom w:val="101"/>
                  <w:divBdr>
                    <w:top w:val="none" w:sz="0" w:space="0" w:color="auto"/>
                    <w:left w:val="none" w:sz="0" w:space="0" w:color="auto"/>
                    <w:bottom w:val="none" w:sz="0" w:space="0" w:color="auto"/>
                    <w:right w:val="none" w:sz="0" w:space="0" w:color="auto"/>
                  </w:divBdr>
                </w:div>
                <w:div w:id="560136610">
                  <w:marLeft w:val="1440"/>
                  <w:marRight w:val="0"/>
                  <w:marTop w:val="0"/>
                  <w:marBottom w:val="101"/>
                  <w:divBdr>
                    <w:top w:val="none" w:sz="0" w:space="0" w:color="auto"/>
                    <w:left w:val="none" w:sz="0" w:space="0" w:color="auto"/>
                    <w:bottom w:val="none" w:sz="0" w:space="0" w:color="auto"/>
                    <w:right w:val="none" w:sz="0" w:space="0" w:color="auto"/>
                  </w:divBdr>
                </w:div>
                <w:div w:id="834613973">
                  <w:marLeft w:val="1440"/>
                  <w:marRight w:val="0"/>
                  <w:marTop w:val="0"/>
                  <w:marBottom w:val="101"/>
                  <w:divBdr>
                    <w:top w:val="none" w:sz="0" w:space="0" w:color="auto"/>
                    <w:left w:val="none" w:sz="0" w:space="0" w:color="auto"/>
                    <w:bottom w:val="none" w:sz="0" w:space="0" w:color="auto"/>
                    <w:right w:val="none" w:sz="0" w:space="0" w:color="auto"/>
                  </w:divBdr>
                </w:div>
                <w:div w:id="691995914">
                  <w:marLeft w:val="1440"/>
                  <w:marRight w:val="0"/>
                  <w:marTop w:val="0"/>
                  <w:marBottom w:val="101"/>
                  <w:divBdr>
                    <w:top w:val="none" w:sz="0" w:space="0" w:color="auto"/>
                    <w:left w:val="none" w:sz="0" w:space="0" w:color="auto"/>
                    <w:bottom w:val="none" w:sz="0" w:space="0" w:color="auto"/>
                    <w:right w:val="none" w:sz="0" w:space="0" w:color="auto"/>
                  </w:divBdr>
                </w:div>
                <w:div w:id="1727025612">
                  <w:marLeft w:val="1440"/>
                  <w:marRight w:val="0"/>
                  <w:marTop w:val="0"/>
                  <w:marBottom w:val="101"/>
                  <w:divBdr>
                    <w:top w:val="none" w:sz="0" w:space="0" w:color="auto"/>
                    <w:left w:val="none" w:sz="0" w:space="0" w:color="auto"/>
                    <w:bottom w:val="none" w:sz="0" w:space="0" w:color="auto"/>
                    <w:right w:val="none" w:sz="0" w:space="0" w:color="auto"/>
                  </w:divBdr>
                </w:div>
                <w:div w:id="297271395">
                  <w:marLeft w:val="1440"/>
                  <w:marRight w:val="0"/>
                  <w:marTop w:val="0"/>
                  <w:marBottom w:val="101"/>
                  <w:divBdr>
                    <w:top w:val="none" w:sz="0" w:space="0" w:color="auto"/>
                    <w:left w:val="none" w:sz="0" w:space="0" w:color="auto"/>
                    <w:bottom w:val="none" w:sz="0" w:space="0" w:color="auto"/>
                    <w:right w:val="none" w:sz="0" w:space="0" w:color="auto"/>
                  </w:divBdr>
                </w:div>
                <w:div w:id="1849051815">
                  <w:marLeft w:val="1440"/>
                  <w:marRight w:val="0"/>
                  <w:marTop w:val="0"/>
                  <w:marBottom w:val="101"/>
                  <w:divBdr>
                    <w:top w:val="none" w:sz="0" w:space="0" w:color="auto"/>
                    <w:left w:val="none" w:sz="0" w:space="0" w:color="auto"/>
                    <w:bottom w:val="none" w:sz="0" w:space="0" w:color="auto"/>
                    <w:right w:val="none" w:sz="0" w:space="0" w:color="auto"/>
                  </w:divBdr>
                </w:div>
                <w:div w:id="206256401">
                  <w:marLeft w:val="1440"/>
                  <w:marRight w:val="0"/>
                  <w:marTop w:val="0"/>
                  <w:marBottom w:val="101"/>
                  <w:divBdr>
                    <w:top w:val="none" w:sz="0" w:space="0" w:color="auto"/>
                    <w:left w:val="none" w:sz="0" w:space="0" w:color="auto"/>
                    <w:bottom w:val="none" w:sz="0" w:space="0" w:color="auto"/>
                    <w:right w:val="none" w:sz="0" w:space="0" w:color="auto"/>
                  </w:divBdr>
                </w:div>
                <w:div w:id="1765110536">
                  <w:marLeft w:val="1440"/>
                  <w:marRight w:val="0"/>
                  <w:marTop w:val="0"/>
                  <w:marBottom w:val="101"/>
                  <w:divBdr>
                    <w:top w:val="none" w:sz="0" w:space="0" w:color="auto"/>
                    <w:left w:val="none" w:sz="0" w:space="0" w:color="auto"/>
                    <w:bottom w:val="none" w:sz="0" w:space="0" w:color="auto"/>
                    <w:right w:val="none" w:sz="0" w:space="0" w:color="auto"/>
                  </w:divBdr>
                </w:div>
                <w:div w:id="623972444">
                  <w:marLeft w:val="1440"/>
                  <w:marRight w:val="0"/>
                  <w:marTop w:val="0"/>
                  <w:marBottom w:val="101"/>
                  <w:divBdr>
                    <w:top w:val="none" w:sz="0" w:space="0" w:color="auto"/>
                    <w:left w:val="none" w:sz="0" w:space="0" w:color="auto"/>
                    <w:bottom w:val="none" w:sz="0" w:space="0" w:color="auto"/>
                    <w:right w:val="none" w:sz="0" w:space="0" w:color="auto"/>
                  </w:divBdr>
                </w:div>
                <w:div w:id="477579879">
                  <w:marLeft w:val="1440"/>
                  <w:marRight w:val="0"/>
                  <w:marTop w:val="0"/>
                  <w:marBottom w:val="101"/>
                  <w:divBdr>
                    <w:top w:val="none" w:sz="0" w:space="0" w:color="auto"/>
                    <w:left w:val="none" w:sz="0" w:space="0" w:color="auto"/>
                    <w:bottom w:val="none" w:sz="0" w:space="0" w:color="auto"/>
                    <w:right w:val="none" w:sz="0" w:space="0" w:color="auto"/>
                  </w:divBdr>
                </w:div>
                <w:div w:id="1581678264">
                  <w:marLeft w:val="1440"/>
                  <w:marRight w:val="0"/>
                  <w:marTop w:val="0"/>
                  <w:marBottom w:val="101"/>
                  <w:divBdr>
                    <w:top w:val="none" w:sz="0" w:space="0" w:color="auto"/>
                    <w:left w:val="none" w:sz="0" w:space="0" w:color="auto"/>
                    <w:bottom w:val="none" w:sz="0" w:space="0" w:color="auto"/>
                    <w:right w:val="none" w:sz="0" w:space="0" w:color="auto"/>
                  </w:divBdr>
                </w:div>
                <w:div w:id="353314499">
                  <w:marLeft w:val="1440"/>
                  <w:marRight w:val="0"/>
                  <w:marTop w:val="0"/>
                  <w:marBottom w:val="101"/>
                  <w:divBdr>
                    <w:top w:val="none" w:sz="0" w:space="0" w:color="auto"/>
                    <w:left w:val="none" w:sz="0" w:space="0" w:color="auto"/>
                    <w:bottom w:val="none" w:sz="0" w:space="0" w:color="auto"/>
                    <w:right w:val="none" w:sz="0" w:space="0" w:color="auto"/>
                  </w:divBdr>
                </w:div>
                <w:div w:id="305935085">
                  <w:marLeft w:val="1440"/>
                  <w:marRight w:val="0"/>
                  <w:marTop w:val="0"/>
                  <w:marBottom w:val="101"/>
                  <w:divBdr>
                    <w:top w:val="none" w:sz="0" w:space="0" w:color="auto"/>
                    <w:left w:val="none" w:sz="0" w:space="0" w:color="auto"/>
                    <w:bottom w:val="none" w:sz="0" w:space="0" w:color="auto"/>
                    <w:right w:val="none" w:sz="0" w:space="0" w:color="auto"/>
                  </w:divBdr>
                </w:div>
                <w:div w:id="1100876800">
                  <w:marLeft w:val="1440"/>
                  <w:marRight w:val="0"/>
                  <w:marTop w:val="0"/>
                  <w:marBottom w:val="101"/>
                  <w:divBdr>
                    <w:top w:val="none" w:sz="0" w:space="0" w:color="auto"/>
                    <w:left w:val="none" w:sz="0" w:space="0" w:color="auto"/>
                    <w:bottom w:val="none" w:sz="0" w:space="0" w:color="auto"/>
                    <w:right w:val="none" w:sz="0" w:space="0" w:color="auto"/>
                  </w:divBdr>
                </w:div>
                <w:div w:id="1657764487">
                  <w:marLeft w:val="1440"/>
                  <w:marRight w:val="0"/>
                  <w:marTop w:val="0"/>
                  <w:marBottom w:val="101"/>
                  <w:divBdr>
                    <w:top w:val="none" w:sz="0" w:space="0" w:color="auto"/>
                    <w:left w:val="none" w:sz="0" w:space="0" w:color="auto"/>
                    <w:bottom w:val="none" w:sz="0" w:space="0" w:color="auto"/>
                    <w:right w:val="none" w:sz="0" w:space="0" w:color="auto"/>
                  </w:divBdr>
                </w:div>
                <w:div w:id="964584635">
                  <w:marLeft w:val="2160"/>
                  <w:marRight w:val="0"/>
                  <w:marTop w:val="0"/>
                  <w:marBottom w:val="101"/>
                  <w:divBdr>
                    <w:top w:val="none" w:sz="0" w:space="0" w:color="auto"/>
                    <w:left w:val="none" w:sz="0" w:space="0" w:color="auto"/>
                    <w:bottom w:val="none" w:sz="0" w:space="0" w:color="auto"/>
                    <w:right w:val="none" w:sz="0" w:space="0" w:color="auto"/>
                  </w:divBdr>
                </w:div>
                <w:div w:id="2036230431">
                  <w:marLeft w:val="2160"/>
                  <w:marRight w:val="0"/>
                  <w:marTop w:val="0"/>
                  <w:marBottom w:val="101"/>
                  <w:divBdr>
                    <w:top w:val="none" w:sz="0" w:space="0" w:color="auto"/>
                    <w:left w:val="none" w:sz="0" w:space="0" w:color="auto"/>
                    <w:bottom w:val="none" w:sz="0" w:space="0" w:color="auto"/>
                    <w:right w:val="none" w:sz="0" w:space="0" w:color="auto"/>
                  </w:divBdr>
                </w:div>
                <w:div w:id="1802773141">
                  <w:marLeft w:val="2160"/>
                  <w:marRight w:val="0"/>
                  <w:marTop w:val="0"/>
                  <w:marBottom w:val="101"/>
                  <w:divBdr>
                    <w:top w:val="none" w:sz="0" w:space="0" w:color="auto"/>
                    <w:left w:val="none" w:sz="0" w:space="0" w:color="auto"/>
                    <w:bottom w:val="none" w:sz="0" w:space="0" w:color="auto"/>
                    <w:right w:val="none" w:sz="0" w:space="0" w:color="auto"/>
                  </w:divBdr>
                </w:div>
                <w:div w:id="1183545160">
                  <w:marLeft w:val="1440"/>
                  <w:marRight w:val="0"/>
                  <w:marTop w:val="0"/>
                  <w:marBottom w:val="101"/>
                  <w:divBdr>
                    <w:top w:val="none" w:sz="0" w:space="0" w:color="auto"/>
                    <w:left w:val="none" w:sz="0" w:space="0" w:color="auto"/>
                    <w:bottom w:val="none" w:sz="0" w:space="0" w:color="auto"/>
                    <w:right w:val="none" w:sz="0" w:space="0" w:color="auto"/>
                  </w:divBdr>
                </w:div>
                <w:div w:id="541524098">
                  <w:marLeft w:val="1440"/>
                  <w:marRight w:val="0"/>
                  <w:marTop w:val="0"/>
                  <w:marBottom w:val="101"/>
                  <w:divBdr>
                    <w:top w:val="none" w:sz="0" w:space="0" w:color="auto"/>
                    <w:left w:val="none" w:sz="0" w:space="0" w:color="auto"/>
                    <w:bottom w:val="none" w:sz="0" w:space="0" w:color="auto"/>
                    <w:right w:val="none" w:sz="0" w:space="0" w:color="auto"/>
                  </w:divBdr>
                </w:div>
                <w:div w:id="2058308631">
                  <w:marLeft w:val="2160"/>
                  <w:marRight w:val="0"/>
                  <w:marTop w:val="0"/>
                  <w:marBottom w:val="101"/>
                  <w:divBdr>
                    <w:top w:val="none" w:sz="0" w:space="0" w:color="auto"/>
                    <w:left w:val="none" w:sz="0" w:space="0" w:color="auto"/>
                    <w:bottom w:val="none" w:sz="0" w:space="0" w:color="auto"/>
                    <w:right w:val="none" w:sz="0" w:space="0" w:color="auto"/>
                  </w:divBdr>
                </w:div>
                <w:div w:id="522980598">
                  <w:marLeft w:val="2160"/>
                  <w:marRight w:val="0"/>
                  <w:marTop w:val="0"/>
                  <w:marBottom w:val="101"/>
                  <w:divBdr>
                    <w:top w:val="none" w:sz="0" w:space="0" w:color="auto"/>
                    <w:left w:val="none" w:sz="0" w:space="0" w:color="auto"/>
                    <w:bottom w:val="none" w:sz="0" w:space="0" w:color="auto"/>
                    <w:right w:val="none" w:sz="0" w:space="0" w:color="auto"/>
                  </w:divBdr>
                </w:div>
                <w:div w:id="1055353025">
                  <w:marLeft w:val="2160"/>
                  <w:marRight w:val="0"/>
                  <w:marTop w:val="0"/>
                  <w:marBottom w:val="101"/>
                  <w:divBdr>
                    <w:top w:val="none" w:sz="0" w:space="0" w:color="auto"/>
                    <w:left w:val="none" w:sz="0" w:space="0" w:color="auto"/>
                    <w:bottom w:val="none" w:sz="0" w:space="0" w:color="auto"/>
                    <w:right w:val="none" w:sz="0" w:space="0" w:color="auto"/>
                  </w:divBdr>
                </w:div>
                <w:div w:id="1337877365">
                  <w:marLeft w:val="2160"/>
                  <w:marRight w:val="0"/>
                  <w:marTop w:val="0"/>
                  <w:marBottom w:val="101"/>
                  <w:divBdr>
                    <w:top w:val="none" w:sz="0" w:space="0" w:color="auto"/>
                    <w:left w:val="none" w:sz="0" w:space="0" w:color="auto"/>
                    <w:bottom w:val="none" w:sz="0" w:space="0" w:color="auto"/>
                    <w:right w:val="none" w:sz="0" w:space="0" w:color="auto"/>
                  </w:divBdr>
                </w:div>
                <w:div w:id="534663029">
                  <w:marLeft w:val="2160"/>
                  <w:marRight w:val="0"/>
                  <w:marTop w:val="0"/>
                  <w:marBottom w:val="72"/>
                  <w:divBdr>
                    <w:top w:val="none" w:sz="0" w:space="0" w:color="auto"/>
                    <w:left w:val="none" w:sz="0" w:space="0" w:color="auto"/>
                    <w:bottom w:val="none" w:sz="0" w:space="0" w:color="auto"/>
                    <w:right w:val="none" w:sz="0" w:space="0" w:color="auto"/>
                  </w:divBdr>
                </w:div>
                <w:div w:id="1610120271">
                  <w:marLeft w:val="2160"/>
                  <w:marRight w:val="0"/>
                  <w:marTop w:val="0"/>
                  <w:marBottom w:val="72"/>
                  <w:divBdr>
                    <w:top w:val="none" w:sz="0" w:space="0" w:color="auto"/>
                    <w:left w:val="none" w:sz="0" w:space="0" w:color="auto"/>
                    <w:bottom w:val="none" w:sz="0" w:space="0" w:color="auto"/>
                    <w:right w:val="none" w:sz="0" w:space="0" w:color="auto"/>
                  </w:divBdr>
                </w:div>
                <w:div w:id="198589343">
                  <w:marLeft w:val="2160"/>
                  <w:marRight w:val="0"/>
                  <w:marTop w:val="0"/>
                  <w:marBottom w:val="72"/>
                  <w:divBdr>
                    <w:top w:val="none" w:sz="0" w:space="0" w:color="auto"/>
                    <w:left w:val="none" w:sz="0" w:space="0" w:color="auto"/>
                    <w:bottom w:val="none" w:sz="0" w:space="0" w:color="auto"/>
                    <w:right w:val="none" w:sz="0" w:space="0" w:color="auto"/>
                  </w:divBdr>
                </w:div>
                <w:div w:id="1871139489">
                  <w:marLeft w:val="1440"/>
                  <w:marRight w:val="0"/>
                  <w:marTop w:val="0"/>
                  <w:marBottom w:val="72"/>
                  <w:divBdr>
                    <w:top w:val="none" w:sz="0" w:space="0" w:color="auto"/>
                    <w:left w:val="none" w:sz="0" w:space="0" w:color="auto"/>
                    <w:bottom w:val="none" w:sz="0" w:space="0" w:color="auto"/>
                    <w:right w:val="none" w:sz="0" w:space="0" w:color="auto"/>
                  </w:divBdr>
                </w:div>
                <w:div w:id="80302122">
                  <w:marLeft w:val="1440"/>
                  <w:marRight w:val="0"/>
                  <w:marTop w:val="0"/>
                  <w:marBottom w:val="72"/>
                  <w:divBdr>
                    <w:top w:val="none" w:sz="0" w:space="0" w:color="auto"/>
                    <w:left w:val="none" w:sz="0" w:space="0" w:color="auto"/>
                    <w:bottom w:val="none" w:sz="0" w:space="0" w:color="auto"/>
                    <w:right w:val="none" w:sz="0" w:space="0" w:color="auto"/>
                  </w:divBdr>
                </w:div>
                <w:div w:id="124467144">
                  <w:marLeft w:val="1440"/>
                  <w:marRight w:val="0"/>
                  <w:marTop w:val="0"/>
                  <w:marBottom w:val="72"/>
                  <w:divBdr>
                    <w:top w:val="none" w:sz="0" w:space="0" w:color="auto"/>
                    <w:left w:val="none" w:sz="0" w:space="0" w:color="auto"/>
                    <w:bottom w:val="none" w:sz="0" w:space="0" w:color="auto"/>
                    <w:right w:val="none" w:sz="0" w:space="0" w:color="auto"/>
                  </w:divBdr>
                </w:div>
                <w:div w:id="475032856">
                  <w:marLeft w:val="1440"/>
                  <w:marRight w:val="0"/>
                  <w:marTop w:val="0"/>
                  <w:marBottom w:val="72"/>
                  <w:divBdr>
                    <w:top w:val="none" w:sz="0" w:space="0" w:color="auto"/>
                    <w:left w:val="none" w:sz="0" w:space="0" w:color="auto"/>
                    <w:bottom w:val="none" w:sz="0" w:space="0" w:color="auto"/>
                    <w:right w:val="none" w:sz="0" w:space="0" w:color="auto"/>
                  </w:divBdr>
                </w:div>
                <w:div w:id="1209101631">
                  <w:marLeft w:val="1440"/>
                  <w:marRight w:val="0"/>
                  <w:marTop w:val="0"/>
                  <w:marBottom w:val="72"/>
                  <w:divBdr>
                    <w:top w:val="none" w:sz="0" w:space="0" w:color="auto"/>
                    <w:left w:val="none" w:sz="0" w:space="0" w:color="auto"/>
                    <w:bottom w:val="none" w:sz="0" w:space="0" w:color="auto"/>
                    <w:right w:val="none" w:sz="0" w:space="0" w:color="auto"/>
                  </w:divBdr>
                </w:div>
                <w:div w:id="530188340">
                  <w:marLeft w:val="1440"/>
                  <w:marRight w:val="0"/>
                  <w:marTop w:val="0"/>
                  <w:marBottom w:val="72"/>
                  <w:divBdr>
                    <w:top w:val="none" w:sz="0" w:space="0" w:color="auto"/>
                    <w:left w:val="none" w:sz="0" w:space="0" w:color="auto"/>
                    <w:bottom w:val="none" w:sz="0" w:space="0" w:color="auto"/>
                    <w:right w:val="none" w:sz="0" w:space="0" w:color="auto"/>
                  </w:divBdr>
                </w:div>
                <w:div w:id="1274747504">
                  <w:marLeft w:val="1440"/>
                  <w:marRight w:val="0"/>
                  <w:marTop w:val="0"/>
                  <w:marBottom w:val="72"/>
                  <w:divBdr>
                    <w:top w:val="none" w:sz="0" w:space="0" w:color="auto"/>
                    <w:left w:val="none" w:sz="0" w:space="0" w:color="auto"/>
                    <w:bottom w:val="none" w:sz="0" w:space="0" w:color="auto"/>
                    <w:right w:val="none" w:sz="0" w:space="0" w:color="auto"/>
                  </w:divBdr>
                </w:div>
                <w:div w:id="1183396471">
                  <w:marLeft w:val="2160"/>
                  <w:marRight w:val="0"/>
                  <w:marTop w:val="0"/>
                  <w:marBottom w:val="72"/>
                  <w:divBdr>
                    <w:top w:val="none" w:sz="0" w:space="0" w:color="auto"/>
                    <w:left w:val="none" w:sz="0" w:space="0" w:color="auto"/>
                    <w:bottom w:val="none" w:sz="0" w:space="0" w:color="auto"/>
                    <w:right w:val="none" w:sz="0" w:space="0" w:color="auto"/>
                  </w:divBdr>
                </w:div>
                <w:div w:id="150024132">
                  <w:marLeft w:val="2160"/>
                  <w:marRight w:val="0"/>
                  <w:marTop w:val="0"/>
                  <w:marBottom w:val="72"/>
                  <w:divBdr>
                    <w:top w:val="none" w:sz="0" w:space="0" w:color="auto"/>
                    <w:left w:val="none" w:sz="0" w:space="0" w:color="auto"/>
                    <w:bottom w:val="none" w:sz="0" w:space="0" w:color="auto"/>
                    <w:right w:val="none" w:sz="0" w:space="0" w:color="auto"/>
                  </w:divBdr>
                </w:div>
                <w:div w:id="382485230">
                  <w:marLeft w:val="1440"/>
                  <w:marRight w:val="0"/>
                  <w:marTop w:val="0"/>
                  <w:marBottom w:val="72"/>
                  <w:divBdr>
                    <w:top w:val="none" w:sz="0" w:space="0" w:color="auto"/>
                    <w:left w:val="none" w:sz="0" w:space="0" w:color="auto"/>
                    <w:bottom w:val="none" w:sz="0" w:space="0" w:color="auto"/>
                    <w:right w:val="none" w:sz="0" w:space="0" w:color="auto"/>
                  </w:divBdr>
                </w:div>
                <w:div w:id="1266228805">
                  <w:marLeft w:val="2160"/>
                  <w:marRight w:val="0"/>
                  <w:marTop w:val="0"/>
                  <w:marBottom w:val="72"/>
                  <w:divBdr>
                    <w:top w:val="none" w:sz="0" w:space="0" w:color="auto"/>
                    <w:left w:val="none" w:sz="0" w:space="0" w:color="auto"/>
                    <w:bottom w:val="none" w:sz="0" w:space="0" w:color="auto"/>
                    <w:right w:val="none" w:sz="0" w:space="0" w:color="auto"/>
                  </w:divBdr>
                </w:div>
                <w:div w:id="1606225914">
                  <w:marLeft w:val="1440"/>
                  <w:marRight w:val="0"/>
                  <w:marTop w:val="0"/>
                  <w:marBottom w:val="72"/>
                  <w:divBdr>
                    <w:top w:val="none" w:sz="0" w:space="0" w:color="auto"/>
                    <w:left w:val="none" w:sz="0" w:space="0" w:color="auto"/>
                    <w:bottom w:val="none" w:sz="0" w:space="0" w:color="auto"/>
                    <w:right w:val="none" w:sz="0" w:space="0" w:color="auto"/>
                  </w:divBdr>
                </w:div>
                <w:div w:id="2013141294">
                  <w:marLeft w:val="1440"/>
                  <w:marRight w:val="0"/>
                  <w:marTop w:val="0"/>
                  <w:marBottom w:val="72"/>
                  <w:divBdr>
                    <w:top w:val="none" w:sz="0" w:space="0" w:color="auto"/>
                    <w:left w:val="none" w:sz="0" w:space="0" w:color="auto"/>
                    <w:bottom w:val="none" w:sz="0" w:space="0" w:color="auto"/>
                    <w:right w:val="none" w:sz="0" w:space="0" w:color="auto"/>
                  </w:divBdr>
                </w:div>
                <w:div w:id="62873757">
                  <w:marLeft w:val="1440"/>
                  <w:marRight w:val="0"/>
                  <w:marTop w:val="0"/>
                  <w:marBottom w:val="72"/>
                  <w:divBdr>
                    <w:top w:val="none" w:sz="0" w:space="0" w:color="auto"/>
                    <w:left w:val="none" w:sz="0" w:space="0" w:color="auto"/>
                    <w:bottom w:val="none" w:sz="0" w:space="0" w:color="auto"/>
                    <w:right w:val="none" w:sz="0" w:space="0" w:color="auto"/>
                  </w:divBdr>
                </w:div>
                <w:div w:id="431171301">
                  <w:marLeft w:val="2160"/>
                  <w:marRight w:val="0"/>
                  <w:marTop w:val="0"/>
                  <w:marBottom w:val="72"/>
                  <w:divBdr>
                    <w:top w:val="none" w:sz="0" w:space="0" w:color="auto"/>
                    <w:left w:val="none" w:sz="0" w:space="0" w:color="auto"/>
                    <w:bottom w:val="none" w:sz="0" w:space="0" w:color="auto"/>
                    <w:right w:val="none" w:sz="0" w:space="0" w:color="auto"/>
                  </w:divBdr>
                </w:div>
                <w:div w:id="565144616">
                  <w:marLeft w:val="1440"/>
                  <w:marRight w:val="0"/>
                  <w:marTop w:val="0"/>
                  <w:marBottom w:val="72"/>
                  <w:divBdr>
                    <w:top w:val="none" w:sz="0" w:space="0" w:color="auto"/>
                    <w:left w:val="none" w:sz="0" w:space="0" w:color="auto"/>
                    <w:bottom w:val="none" w:sz="0" w:space="0" w:color="auto"/>
                    <w:right w:val="none" w:sz="0" w:space="0" w:color="auto"/>
                  </w:divBdr>
                </w:div>
                <w:div w:id="1758670406">
                  <w:marLeft w:val="2160"/>
                  <w:marRight w:val="0"/>
                  <w:marTop w:val="0"/>
                  <w:marBottom w:val="72"/>
                  <w:divBdr>
                    <w:top w:val="none" w:sz="0" w:space="0" w:color="auto"/>
                    <w:left w:val="none" w:sz="0" w:space="0" w:color="auto"/>
                    <w:bottom w:val="none" w:sz="0" w:space="0" w:color="auto"/>
                    <w:right w:val="none" w:sz="0" w:space="0" w:color="auto"/>
                  </w:divBdr>
                </w:div>
                <w:div w:id="1223296068">
                  <w:marLeft w:val="1440"/>
                  <w:marRight w:val="0"/>
                  <w:marTop w:val="0"/>
                  <w:marBottom w:val="101"/>
                  <w:divBdr>
                    <w:top w:val="none" w:sz="0" w:space="0" w:color="auto"/>
                    <w:left w:val="none" w:sz="0" w:space="0" w:color="auto"/>
                    <w:bottom w:val="none" w:sz="0" w:space="0" w:color="auto"/>
                    <w:right w:val="none" w:sz="0" w:space="0" w:color="auto"/>
                  </w:divBdr>
                </w:div>
                <w:div w:id="820149565">
                  <w:marLeft w:val="1440"/>
                  <w:marRight w:val="0"/>
                  <w:marTop w:val="0"/>
                  <w:marBottom w:val="101"/>
                  <w:divBdr>
                    <w:top w:val="none" w:sz="0" w:space="0" w:color="auto"/>
                    <w:left w:val="none" w:sz="0" w:space="0" w:color="auto"/>
                    <w:bottom w:val="none" w:sz="0" w:space="0" w:color="auto"/>
                    <w:right w:val="none" w:sz="0" w:space="0" w:color="auto"/>
                  </w:divBdr>
                </w:div>
                <w:div w:id="1284849974">
                  <w:marLeft w:val="1440"/>
                  <w:marRight w:val="0"/>
                  <w:marTop w:val="0"/>
                  <w:marBottom w:val="96"/>
                  <w:divBdr>
                    <w:top w:val="none" w:sz="0" w:space="0" w:color="auto"/>
                    <w:left w:val="none" w:sz="0" w:space="0" w:color="auto"/>
                    <w:bottom w:val="none" w:sz="0" w:space="0" w:color="auto"/>
                    <w:right w:val="none" w:sz="0" w:space="0" w:color="auto"/>
                  </w:divBdr>
                </w:div>
                <w:div w:id="1056709160">
                  <w:marLeft w:val="1440"/>
                  <w:marRight w:val="0"/>
                  <w:marTop w:val="0"/>
                  <w:marBottom w:val="96"/>
                  <w:divBdr>
                    <w:top w:val="none" w:sz="0" w:space="0" w:color="auto"/>
                    <w:left w:val="none" w:sz="0" w:space="0" w:color="auto"/>
                    <w:bottom w:val="none" w:sz="0" w:space="0" w:color="auto"/>
                    <w:right w:val="none" w:sz="0" w:space="0" w:color="auto"/>
                  </w:divBdr>
                </w:div>
                <w:div w:id="2054881919">
                  <w:marLeft w:val="1440"/>
                  <w:marRight w:val="0"/>
                  <w:marTop w:val="0"/>
                  <w:marBottom w:val="96"/>
                  <w:divBdr>
                    <w:top w:val="none" w:sz="0" w:space="0" w:color="auto"/>
                    <w:left w:val="none" w:sz="0" w:space="0" w:color="auto"/>
                    <w:bottom w:val="none" w:sz="0" w:space="0" w:color="auto"/>
                    <w:right w:val="none" w:sz="0" w:space="0" w:color="auto"/>
                  </w:divBdr>
                </w:div>
                <w:div w:id="1339111787">
                  <w:marLeft w:val="1440"/>
                  <w:marRight w:val="0"/>
                  <w:marTop w:val="0"/>
                  <w:marBottom w:val="96"/>
                  <w:divBdr>
                    <w:top w:val="none" w:sz="0" w:space="0" w:color="auto"/>
                    <w:left w:val="none" w:sz="0" w:space="0" w:color="auto"/>
                    <w:bottom w:val="none" w:sz="0" w:space="0" w:color="auto"/>
                    <w:right w:val="none" w:sz="0" w:space="0" w:color="auto"/>
                  </w:divBdr>
                </w:div>
                <w:div w:id="1202397412">
                  <w:marLeft w:val="1440"/>
                  <w:marRight w:val="0"/>
                  <w:marTop w:val="0"/>
                  <w:marBottom w:val="96"/>
                  <w:divBdr>
                    <w:top w:val="none" w:sz="0" w:space="0" w:color="auto"/>
                    <w:left w:val="none" w:sz="0" w:space="0" w:color="auto"/>
                    <w:bottom w:val="none" w:sz="0" w:space="0" w:color="auto"/>
                    <w:right w:val="none" w:sz="0" w:space="0" w:color="auto"/>
                  </w:divBdr>
                </w:div>
                <w:div w:id="1391999865">
                  <w:marLeft w:val="1440"/>
                  <w:marRight w:val="0"/>
                  <w:marTop w:val="0"/>
                  <w:marBottom w:val="96"/>
                  <w:divBdr>
                    <w:top w:val="none" w:sz="0" w:space="0" w:color="auto"/>
                    <w:left w:val="none" w:sz="0" w:space="0" w:color="auto"/>
                    <w:bottom w:val="none" w:sz="0" w:space="0" w:color="auto"/>
                    <w:right w:val="none" w:sz="0" w:space="0" w:color="auto"/>
                  </w:divBdr>
                </w:div>
                <w:div w:id="922878063">
                  <w:marLeft w:val="1440"/>
                  <w:marRight w:val="0"/>
                  <w:marTop w:val="0"/>
                  <w:marBottom w:val="96"/>
                  <w:divBdr>
                    <w:top w:val="none" w:sz="0" w:space="0" w:color="auto"/>
                    <w:left w:val="none" w:sz="0" w:space="0" w:color="auto"/>
                    <w:bottom w:val="none" w:sz="0" w:space="0" w:color="auto"/>
                    <w:right w:val="none" w:sz="0" w:space="0" w:color="auto"/>
                  </w:divBdr>
                </w:div>
                <w:div w:id="869302007">
                  <w:marLeft w:val="1440"/>
                  <w:marRight w:val="0"/>
                  <w:marTop w:val="0"/>
                  <w:marBottom w:val="96"/>
                  <w:divBdr>
                    <w:top w:val="none" w:sz="0" w:space="0" w:color="auto"/>
                    <w:left w:val="none" w:sz="0" w:space="0" w:color="auto"/>
                    <w:bottom w:val="none" w:sz="0" w:space="0" w:color="auto"/>
                    <w:right w:val="none" w:sz="0" w:space="0" w:color="auto"/>
                  </w:divBdr>
                </w:div>
                <w:div w:id="1854227019">
                  <w:marLeft w:val="1440"/>
                  <w:marRight w:val="0"/>
                  <w:marTop w:val="0"/>
                  <w:marBottom w:val="96"/>
                  <w:divBdr>
                    <w:top w:val="none" w:sz="0" w:space="0" w:color="auto"/>
                    <w:left w:val="none" w:sz="0" w:space="0" w:color="auto"/>
                    <w:bottom w:val="none" w:sz="0" w:space="0" w:color="auto"/>
                    <w:right w:val="none" w:sz="0" w:space="0" w:color="auto"/>
                  </w:divBdr>
                </w:div>
                <w:div w:id="1627200900">
                  <w:marLeft w:val="2160"/>
                  <w:marRight w:val="0"/>
                  <w:marTop w:val="0"/>
                  <w:marBottom w:val="96"/>
                  <w:divBdr>
                    <w:top w:val="none" w:sz="0" w:space="0" w:color="auto"/>
                    <w:left w:val="none" w:sz="0" w:space="0" w:color="auto"/>
                    <w:bottom w:val="none" w:sz="0" w:space="0" w:color="auto"/>
                    <w:right w:val="none" w:sz="0" w:space="0" w:color="auto"/>
                  </w:divBdr>
                </w:div>
                <w:div w:id="1876311390">
                  <w:marLeft w:val="2160"/>
                  <w:marRight w:val="0"/>
                  <w:marTop w:val="0"/>
                  <w:marBottom w:val="96"/>
                  <w:divBdr>
                    <w:top w:val="none" w:sz="0" w:space="0" w:color="auto"/>
                    <w:left w:val="none" w:sz="0" w:space="0" w:color="auto"/>
                    <w:bottom w:val="none" w:sz="0" w:space="0" w:color="auto"/>
                    <w:right w:val="none" w:sz="0" w:space="0" w:color="auto"/>
                  </w:divBdr>
                </w:div>
                <w:div w:id="1443257948">
                  <w:marLeft w:val="2160"/>
                  <w:marRight w:val="0"/>
                  <w:marTop w:val="0"/>
                  <w:marBottom w:val="96"/>
                  <w:divBdr>
                    <w:top w:val="none" w:sz="0" w:space="0" w:color="auto"/>
                    <w:left w:val="none" w:sz="0" w:space="0" w:color="auto"/>
                    <w:bottom w:val="none" w:sz="0" w:space="0" w:color="auto"/>
                    <w:right w:val="none" w:sz="0" w:space="0" w:color="auto"/>
                  </w:divBdr>
                </w:div>
                <w:div w:id="369645050">
                  <w:marLeft w:val="1440"/>
                  <w:marRight w:val="0"/>
                  <w:marTop w:val="0"/>
                  <w:marBottom w:val="96"/>
                  <w:divBdr>
                    <w:top w:val="none" w:sz="0" w:space="0" w:color="auto"/>
                    <w:left w:val="none" w:sz="0" w:space="0" w:color="auto"/>
                    <w:bottom w:val="none" w:sz="0" w:space="0" w:color="auto"/>
                    <w:right w:val="none" w:sz="0" w:space="0" w:color="auto"/>
                  </w:divBdr>
                </w:div>
                <w:div w:id="1728916541">
                  <w:marLeft w:val="1440"/>
                  <w:marRight w:val="0"/>
                  <w:marTop w:val="0"/>
                  <w:marBottom w:val="96"/>
                  <w:divBdr>
                    <w:top w:val="none" w:sz="0" w:space="0" w:color="auto"/>
                    <w:left w:val="none" w:sz="0" w:space="0" w:color="auto"/>
                    <w:bottom w:val="none" w:sz="0" w:space="0" w:color="auto"/>
                    <w:right w:val="none" w:sz="0" w:space="0" w:color="auto"/>
                  </w:divBdr>
                </w:div>
                <w:div w:id="774062868">
                  <w:marLeft w:val="2160"/>
                  <w:marRight w:val="0"/>
                  <w:marTop w:val="0"/>
                  <w:marBottom w:val="96"/>
                  <w:divBdr>
                    <w:top w:val="none" w:sz="0" w:space="0" w:color="auto"/>
                    <w:left w:val="none" w:sz="0" w:space="0" w:color="auto"/>
                    <w:bottom w:val="none" w:sz="0" w:space="0" w:color="auto"/>
                    <w:right w:val="none" w:sz="0" w:space="0" w:color="auto"/>
                  </w:divBdr>
                </w:div>
                <w:div w:id="50010447">
                  <w:marLeft w:val="2160"/>
                  <w:marRight w:val="0"/>
                  <w:marTop w:val="0"/>
                  <w:marBottom w:val="96"/>
                  <w:divBdr>
                    <w:top w:val="none" w:sz="0" w:space="0" w:color="auto"/>
                    <w:left w:val="none" w:sz="0" w:space="0" w:color="auto"/>
                    <w:bottom w:val="none" w:sz="0" w:space="0" w:color="auto"/>
                    <w:right w:val="none" w:sz="0" w:space="0" w:color="auto"/>
                  </w:divBdr>
                </w:div>
                <w:div w:id="51539721">
                  <w:marLeft w:val="2160"/>
                  <w:marRight w:val="0"/>
                  <w:marTop w:val="0"/>
                  <w:marBottom w:val="96"/>
                  <w:divBdr>
                    <w:top w:val="none" w:sz="0" w:space="0" w:color="auto"/>
                    <w:left w:val="none" w:sz="0" w:space="0" w:color="auto"/>
                    <w:bottom w:val="none" w:sz="0" w:space="0" w:color="auto"/>
                    <w:right w:val="none" w:sz="0" w:space="0" w:color="auto"/>
                  </w:divBdr>
                </w:div>
                <w:div w:id="1113161606">
                  <w:marLeft w:val="2160"/>
                  <w:marRight w:val="0"/>
                  <w:marTop w:val="0"/>
                  <w:marBottom w:val="96"/>
                  <w:divBdr>
                    <w:top w:val="none" w:sz="0" w:space="0" w:color="auto"/>
                    <w:left w:val="none" w:sz="0" w:space="0" w:color="auto"/>
                    <w:bottom w:val="none" w:sz="0" w:space="0" w:color="auto"/>
                    <w:right w:val="none" w:sz="0" w:space="0" w:color="auto"/>
                  </w:divBdr>
                </w:div>
                <w:div w:id="1782994629">
                  <w:marLeft w:val="2160"/>
                  <w:marRight w:val="0"/>
                  <w:marTop w:val="0"/>
                  <w:marBottom w:val="96"/>
                  <w:divBdr>
                    <w:top w:val="none" w:sz="0" w:space="0" w:color="auto"/>
                    <w:left w:val="none" w:sz="0" w:space="0" w:color="auto"/>
                    <w:bottom w:val="none" w:sz="0" w:space="0" w:color="auto"/>
                    <w:right w:val="none" w:sz="0" w:space="0" w:color="auto"/>
                  </w:divBdr>
                </w:div>
                <w:div w:id="1717120885">
                  <w:marLeft w:val="2160"/>
                  <w:marRight w:val="0"/>
                  <w:marTop w:val="0"/>
                  <w:marBottom w:val="96"/>
                  <w:divBdr>
                    <w:top w:val="none" w:sz="0" w:space="0" w:color="auto"/>
                    <w:left w:val="none" w:sz="0" w:space="0" w:color="auto"/>
                    <w:bottom w:val="none" w:sz="0" w:space="0" w:color="auto"/>
                    <w:right w:val="none" w:sz="0" w:space="0" w:color="auto"/>
                  </w:divBdr>
                </w:div>
                <w:div w:id="1127775117">
                  <w:marLeft w:val="1440"/>
                  <w:marRight w:val="0"/>
                  <w:marTop w:val="0"/>
                  <w:marBottom w:val="96"/>
                  <w:divBdr>
                    <w:top w:val="none" w:sz="0" w:space="0" w:color="auto"/>
                    <w:left w:val="none" w:sz="0" w:space="0" w:color="auto"/>
                    <w:bottom w:val="none" w:sz="0" w:space="0" w:color="auto"/>
                    <w:right w:val="none" w:sz="0" w:space="0" w:color="auto"/>
                  </w:divBdr>
                </w:div>
                <w:div w:id="63721800">
                  <w:marLeft w:val="1440"/>
                  <w:marRight w:val="0"/>
                  <w:marTop w:val="0"/>
                  <w:marBottom w:val="101"/>
                  <w:divBdr>
                    <w:top w:val="none" w:sz="0" w:space="0" w:color="auto"/>
                    <w:left w:val="none" w:sz="0" w:space="0" w:color="auto"/>
                    <w:bottom w:val="none" w:sz="0" w:space="0" w:color="auto"/>
                    <w:right w:val="none" w:sz="0" w:space="0" w:color="auto"/>
                  </w:divBdr>
                </w:div>
                <w:div w:id="1604072474">
                  <w:marLeft w:val="1440"/>
                  <w:marRight w:val="0"/>
                  <w:marTop w:val="0"/>
                  <w:marBottom w:val="101"/>
                  <w:divBdr>
                    <w:top w:val="none" w:sz="0" w:space="0" w:color="auto"/>
                    <w:left w:val="none" w:sz="0" w:space="0" w:color="auto"/>
                    <w:bottom w:val="none" w:sz="0" w:space="0" w:color="auto"/>
                    <w:right w:val="none" w:sz="0" w:space="0" w:color="auto"/>
                  </w:divBdr>
                </w:div>
                <w:div w:id="1651448249">
                  <w:marLeft w:val="1440"/>
                  <w:marRight w:val="0"/>
                  <w:marTop w:val="0"/>
                  <w:marBottom w:val="101"/>
                  <w:divBdr>
                    <w:top w:val="none" w:sz="0" w:space="0" w:color="auto"/>
                    <w:left w:val="none" w:sz="0" w:space="0" w:color="auto"/>
                    <w:bottom w:val="none" w:sz="0" w:space="0" w:color="auto"/>
                    <w:right w:val="none" w:sz="0" w:space="0" w:color="auto"/>
                  </w:divBdr>
                </w:div>
                <w:div w:id="1333682035">
                  <w:marLeft w:val="1440"/>
                  <w:marRight w:val="0"/>
                  <w:marTop w:val="0"/>
                  <w:marBottom w:val="101"/>
                  <w:divBdr>
                    <w:top w:val="none" w:sz="0" w:space="0" w:color="auto"/>
                    <w:left w:val="none" w:sz="0" w:space="0" w:color="auto"/>
                    <w:bottom w:val="none" w:sz="0" w:space="0" w:color="auto"/>
                    <w:right w:val="none" w:sz="0" w:space="0" w:color="auto"/>
                  </w:divBdr>
                </w:div>
                <w:div w:id="1674526883">
                  <w:marLeft w:val="1440"/>
                  <w:marRight w:val="0"/>
                  <w:marTop w:val="0"/>
                  <w:marBottom w:val="101"/>
                  <w:divBdr>
                    <w:top w:val="none" w:sz="0" w:space="0" w:color="auto"/>
                    <w:left w:val="none" w:sz="0" w:space="0" w:color="auto"/>
                    <w:bottom w:val="none" w:sz="0" w:space="0" w:color="auto"/>
                    <w:right w:val="none" w:sz="0" w:space="0" w:color="auto"/>
                  </w:divBdr>
                </w:div>
                <w:div w:id="1024330508">
                  <w:marLeft w:val="1440"/>
                  <w:marRight w:val="0"/>
                  <w:marTop w:val="0"/>
                  <w:marBottom w:val="101"/>
                  <w:divBdr>
                    <w:top w:val="none" w:sz="0" w:space="0" w:color="auto"/>
                    <w:left w:val="none" w:sz="0" w:space="0" w:color="auto"/>
                    <w:bottom w:val="none" w:sz="0" w:space="0" w:color="auto"/>
                    <w:right w:val="none" w:sz="0" w:space="0" w:color="auto"/>
                  </w:divBdr>
                </w:div>
                <w:div w:id="1575818028">
                  <w:marLeft w:val="1440"/>
                  <w:marRight w:val="0"/>
                  <w:marTop w:val="0"/>
                  <w:marBottom w:val="101"/>
                  <w:divBdr>
                    <w:top w:val="none" w:sz="0" w:space="0" w:color="auto"/>
                    <w:left w:val="none" w:sz="0" w:space="0" w:color="auto"/>
                    <w:bottom w:val="none" w:sz="0" w:space="0" w:color="auto"/>
                    <w:right w:val="none" w:sz="0" w:space="0" w:color="auto"/>
                  </w:divBdr>
                </w:div>
                <w:div w:id="381448555">
                  <w:marLeft w:val="2160"/>
                  <w:marRight w:val="0"/>
                  <w:marTop w:val="0"/>
                  <w:marBottom w:val="101"/>
                  <w:divBdr>
                    <w:top w:val="none" w:sz="0" w:space="0" w:color="auto"/>
                    <w:left w:val="none" w:sz="0" w:space="0" w:color="auto"/>
                    <w:bottom w:val="none" w:sz="0" w:space="0" w:color="auto"/>
                    <w:right w:val="none" w:sz="0" w:space="0" w:color="auto"/>
                  </w:divBdr>
                </w:div>
                <w:div w:id="963075645">
                  <w:marLeft w:val="2160"/>
                  <w:marRight w:val="0"/>
                  <w:marTop w:val="0"/>
                  <w:marBottom w:val="101"/>
                  <w:divBdr>
                    <w:top w:val="none" w:sz="0" w:space="0" w:color="auto"/>
                    <w:left w:val="none" w:sz="0" w:space="0" w:color="auto"/>
                    <w:bottom w:val="none" w:sz="0" w:space="0" w:color="auto"/>
                    <w:right w:val="none" w:sz="0" w:space="0" w:color="auto"/>
                  </w:divBdr>
                </w:div>
                <w:div w:id="1677222564">
                  <w:marLeft w:val="2160"/>
                  <w:marRight w:val="0"/>
                  <w:marTop w:val="0"/>
                  <w:marBottom w:val="101"/>
                  <w:divBdr>
                    <w:top w:val="none" w:sz="0" w:space="0" w:color="auto"/>
                    <w:left w:val="none" w:sz="0" w:space="0" w:color="auto"/>
                    <w:bottom w:val="none" w:sz="0" w:space="0" w:color="auto"/>
                    <w:right w:val="none" w:sz="0" w:space="0" w:color="auto"/>
                  </w:divBdr>
                </w:div>
                <w:div w:id="1458137972">
                  <w:marLeft w:val="2160"/>
                  <w:marRight w:val="0"/>
                  <w:marTop w:val="0"/>
                  <w:marBottom w:val="101"/>
                  <w:divBdr>
                    <w:top w:val="none" w:sz="0" w:space="0" w:color="auto"/>
                    <w:left w:val="none" w:sz="0" w:space="0" w:color="auto"/>
                    <w:bottom w:val="none" w:sz="0" w:space="0" w:color="auto"/>
                    <w:right w:val="none" w:sz="0" w:space="0" w:color="auto"/>
                  </w:divBdr>
                </w:div>
                <w:div w:id="1521118519">
                  <w:marLeft w:val="2160"/>
                  <w:marRight w:val="0"/>
                  <w:marTop w:val="0"/>
                  <w:marBottom w:val="101"/>
                  <w:divBdr>
                    <w:top w:val="none" w:sz="0" w:space="0" w:color="auto"/>
                    <w:left w:val="none" w:sz="0" w:space="0" w:color="auto"/>
                    <w:bottom w:val="none" w:sz="0" w:space="0" w:color="auto"/>
                    <w:right w:val="none" w:sz="0" w:space="0" w:color="auto"/>
                  </w:divBdr>
                </w:div>
                <w:div w:id="1832410906">
                  <w:marLeft w:val="2160"/>
                  <w:marRight w:val="0"/>
                  <w:marTop w:val="0"/>
                  <w:marBottom w:val="101"/>
                  <w:divBdr>
                    <w:top w:val="none" w:sz="0" w:space="0" w:color="auto"/>
                    <w:left w:val="none" w:sz="0" w:space="0" w:color="auto"/>
                    <w:bottom w:val="none" w:sz="0" w:space="0" w:color="auto"/>
                    <w:right w:val="none" w:sz="0" w:space="0" w:color="auto"/>
                  </w:divBdr>
                </w:div>
                <w:div w:id="369770621">
                  <w:marLeft w:val="2160"/>
                  <w:marRight w:val="0"/>
                  <w:marTop w:val="0"/>
                  <w:marBottom w:val="101"/>
                  <w:divBdr>
                    <w:top w:val="none" w:sz="0" w:space="0" w:color="auto"/>
                    <w:left w:val="none" w:sz="0" w:space="0" w:color="auto"/>
                    <w:bottom w:val="none" w:sz="0" w:space="0" w:color="auto"/>
                    <w:right w:val="none" w:sz="0" w:space="0" w:color="auto"/>
                  </w:divBdr>
                </w:div>
                <w:div w:id="69424202">
                  <w:marLeft w:val="1440"/>
                  <w:marRight w:val="0"/>
                  <w:marTop w:val="0"/>
                  <w:marBottom w:val="101"/>
                  <w:divBdr>
                    <w:top w:val="none" w:sz="0" w:space="0" w:color="auto"/>
                    <w:left w:val="none" w:sz="0" w:space="0" w:color="auto"/>
                    <w:bottom w:val="none" w:sz="0" w:space="0" w:color="auto"/>
                    <w:right w:val="none" w:sz="0" w:space="0" w:color="auto"/>
                  </w:divBdr>
                </w:div>
                <w:div w:id="720403787">
                  <w:marLeft w:val="1440"/>
                  <w:marRight w:val="0"/>
                  <w:marTop w:val="0"/>
                  <w:marBottom w:val="101"/>
                  <w:divBdr>
                    <w:top w:val="none" w:sz="0" w:space="0" w:color="auto"/>
                    <w:left w:val="none" w:sz="0" w:space="0" w:color="auto"/>
                    <w:bottom w:val="none" w:sz="0" w:space="0" w:color="auto"/>
                    <w:right w:val="none" w:sz="0" w:space="0" w:color="auto"/>
                  </w:divBdr>
                </w:div>
                <w:div w:id="1702046303">
                  <w:marLeft w:val="1440"/>
                  <w:marRight w:val="0"/>
                  <w:marTop w:val="0"/>
                  <w:marBottom w:val="101"/>
                  <w:divBdr>
                    <w:top w:val="none" w:sz="0" w:space="0" w:color="auto"/>
                    <w:left w:val="none" w:sz="0" w:space="0" w:color="auto"/>
                    <w:bottom w:val="none" w:sz="0" w:space="0" w:color="auto"/>
                    <w:right w:val="none" w:sz="0" w:space="0" w:color="auto"/>
                  </w:divBdr>
                </w:div>
                <w:div w:id="571936222">
                  <w:marLeft w:val="2160"/>
                  <w:marRight w:val="0"/>
                  <w:marTop w:val="0"/>
                  <w:marBottom w:val="101"/>
                  <w:divBdr>
                    <w:top w:val="none" w:sz="0" w:space="0" w:color="auto"/>
                    <w:left w:val="none" w:sz="0" w:space="0" w:color="auto"/>
                    <w:bottom w:val="none" w:sz="0" w:space="0" w:color="auto"/>
                    <w:right w:val="none" w:sz="0" w:space="0" w:color="auto"/>
                  </w:divBdr>
                </w:div>
                <w:div w:id="34477004">
                  <w:marLeft w:val="1440"/>
                  <w:marRight w:val="0"/>
                  <w:marTop w:val="0"/>
                  <w:marBottom w:val="101"/>
                  <w:divBdr>
                    <w:top w:val="none" w:sz="0" w:space="0" w:color="auto"/>
                    <w:left w:val="none" w:sz="0" w:space="0" w:color="auto"/>
                    <w:bottom w:val="none" w:sz="0" w:space="0" w:color="auto"/>
                    <w:right w:val="none" w:sz="0" w:space="0" w:color="auto"/>
                  </w:divBdr>
                </w:div>
                <w:div w:id="105539150">
                  <w:marLeft w:val="1440"/>
                  <w:marRight w:val="0"/>
                  <w:marTop w:val="0"/>
                  <w:marBottom w:val="101"/>
                  <w:divBdr>
                    <w:top w:val="none" w:sz="0" w:space="0" w:color="auto"/>
                    <w:left w:val="none" w:sz="0" w:space="0" w:color="auto"/>
                    <w:bottom w:val="none" w:sz="0" w:space="0" w:color="auto"/>
                    <w:right w:val="none" w:sz="0" w:space="0" w:color="auto"/>
                  </w:divBdr>
                </w:div>
                <w:div w:id="1692955012">
                  <w:marLeft w:val="1440"/>
                  <w:marRight w:val="0"/>
                  <w:marTop w:val="0"/>
                  <w:marBottom w:val="101"/>
                  <w:divBdr>
                    <w:top w:val="none" w:sz="0" w:space="0" w:color="auto"/>
                    <w:left w:val="none" w:sz="0" w:space="0" w:color="auto"/>
                    <w:bottom w:val="none" w:sz="0" w:space="0" w:color="auto"/>
                    <w:right w:val="none" w:sz="0" w:space="0" w:color="auto"/>
                  </w:divBdr>
                </w:div>
                <w:div w:id="120927982">
                  <w:marLeft w:val="1440"/>
                  <w:marRight w:val="0"/>
                  <w:marTop w:val="0"/>
                  <w:marBottom w:val="101"/>
                  <w:divBdr>
                    <w:top w:val="none" w:sz="0" w:space="0" w:color="auto"/>
                    <w:left w:val="none" w:sz="0" w:space="0" w:color="auto"/>
                    <w:bottom w:val="none" w:sz="0" w:space="0" w:color="auto"/>
                    <w:right w:val="none" w:sz="0" w:space="0" w:color="auto"/>
                  </w:divBdr>
                </w:div>
                <w:div w:id="1848444922">
                  <w:marLeft w:val="1440"/>
                  <w:marRight w:val="0"/>
                  <w:marTop w:val="0"/>
                  <w:marBottom w:val="101"/>
                  <w:divBdr>
                    <w:top w:val="none" w:sz="0" w:space="0" w:color="auto"/>
                    <w:left w:val="none" w:sz="0" w:space="0" w:color="auto"/>
                    <w:bottom w:val="none" w:sz="0" w:space="0" w:color="auto"/>
                    <w:right w:val="none" w:sz="0" w:space="0" w:color="auto"/>
                  </w:divBdr>
                </w:div>
                <w:div w:id="307515280">
                  <w:marLeft w:val="1440"/>
                  <w:marRight w:val="0"/>
                  <w:marTop w:val="0"/>
                  <w:marBottom w:val="101"/>
                  <w:divBdr>
                    <w:top w:val="none" w:sz="0" w:space="0" w:color="auto"/>
                    <w:left w:val="none" w:sz="0" w:space="0" w:color="auto"/>
                    <w:bottom w:val="none" w:sz="0" w:space="0" w:color="auto"/>
                    <w:right w:val="none" w:sz="0" w:space="0" w:color="auto"/>
                  </w:divBdr>
                </w:div>
                <w:div w:id="1923445793">
                  <w:marLeft w:val="1440"/>
                  <w:marRight w:val="0"/>
                  <w:marTop w:val="0"/>
                  <w:marBottom w:val="101"/>
                  <w:divBdr>
                    <w:top w:val="none" w:sz="0" w:space="0" w:color="auto"/>
                    <w:left w:val="none" w:sz="0" w:space="0" w:color="auto"/>
                    <w:bottom w:val="none" w:sz="0" w:space="0" w:color="auto"/>
                    <w:right w:val="none" w:sz="0" w:space="0" w:color="auto"/>
                  </w:divBdr>
                </w:div>
                <w:div w:id="998849068">
                  <w:marLeft w:val="2160"/>
                  <w:marRight w:val="0"/>
                  <w:marTop w:val="0"/>
                  <w:marBottom w:val="101"/>
                  <w:divBdr>
                    <w:top w:val="none" w:sz="0" w:space="0" w:color="auto"/>
                    <w:left w:val="none" w:sz="0" w:space="0" w:color="auto"/>
                    <w:bottom w:val="none" w:sz="0" w:space="0" w:color="auto"/>
                    <w:right w:val="none" w:sz="0" w:space="0" w:color="auto"/>
                  </w:divBdr>
                </w:div>
                <w:div w:id="867525331">
                  <w:marLeft w:val="2160"/>
                  <w:marRight w:val="0"/>
                  <w:marTop w:val="0"/>
                  <w:marBottom w:val="101"/>
                  <w:divBdr>
                    <w:top w:val="none" w:sz="0" w:space="0" w:color="auto"/>
                    <w:left w:val="none" w:sz="0" w:space="0" w:color="auto"/>
                    <w:bottom w:val="none" w:sz="0" w:space="0" w:color="auto"/>
                    <w:right w:val="none" w:sz="0" w:space="0" w:color="auto"/>
                  </w:divBdr>
                </w:div>
                <w:div w:id="1576430128">
                  <w:marLeft w:val="1440"/>
                  <w:marRight w:val="0"/>
                  <w:marTop w:val="0"/>
                  <w:marBottom w:val="101"/>
                  <w:divBdr>
                    <w:top w:val="none" w:sz="0" w:space="0" w:color="auto"/>
                    <w:left w:val="none" w:sz="0" w:space="0" w:color="auto"/>
                    <w:bottom w:val="none" w:sz="0" w:space="0" w:color="auto"/>
                    <w:right w:val="none" w:sz="0" w:space="0" w:color="auto"/>
                  </w:divBdr>
                </w:div>
                <w:div w:id="1760716936">
                  <w:marLeft w:val="2160"/>
                  <w:marRight w:val="0"/>
                  <w:marTop w:val="0"/>
                  <w:marBottom w:val="101"/>
                  <w:divBdr>
                    <w:top w:val="none" w:sz="0" w:space="0" w:color="auto"/>
                    <w:left w:val="none" w:sz="0" w:space="0" w:color="auto"/>
                    <w:bottom w:val="none" w:sz="0" w:space="0" w:color="auto"/>
                    <w:right w:val="none" w:sz="0" w:space="0" w:color="auto"/>
                  </w:divBdr>
                </w:div>
                <w:div w:id="1548563916">
                  <w:marLeft w:val="1440"/>
                  <w:marRight w:val="0"/>
                  <w:marTop w:val="0"/>
                  <w:marBottom w:val="101"/>
                  <w:divBdr>
                    <w:top w:val="none" w:sz="0" w:space="0" w:color="auto"/>
                    <w:left w:val="none" w:sz="0" w:space="0" w:color="auto"/>
                    <w:bottom w:val="none" w:sz="0" w:space="0" w:color="auto"/>
                    <w:right w:val="none" w:sz="0" w:space="0" w:color="auto"/>
                  </w:divBdr>
                </w:div>
                <w:div w:id="2078476060">
                  <w:marLeft w:val="1440"/>
                  <w:marRight w:val="0"/>
                  <w:marTop w:val="0"/>
                  <w:marBottom w:val="101"/>
                  <w:divBdr>
                    <w:top w:val="none" w:sz="0" w:space="0" w:color="auto"/>
                    <w:left w:val="none" w:sz="0" w:space="0" w:color="auto"/>
                    <w:bottom w:val="none" w:sz="0" w:space="0" w:color="auto"/>
                    <w:right w:val="none" w:sz="0" w:space="0" w:color="auto"/>
                  </w:divBdr>
                </w:div>
                <w:div w:id="1186748675">
                  <w:marLeft w:val="1440"/>
                  <w:marRight w:val="0"/>
                  <w:marTop w:val="0"/>
                  <w:marBottom w:val="101"/>
                  <w:divBdr>
                    <w:top w:val="none" w:sz="0" w:space="0" w:color="auto"/>
                    <w:left w:val="none" w:sz="0" w:space="0" w:color="auto"/>
                    <w:bottom w:val="none" w:sz="0" w:space="0" w:color="auto"/>
                    <w:right w:val="none" w:sz="0" w:space="0" w:color="auto"/>
                  </w:divBdr>
                </w:div>
                <w:div w:id="2010325889">
                  <w:marLeft w:val="1440"/>
                  <w:marRight w:val="0"/>
                  <w:marTop w:val="0"/>
                  <w:marBottom w:val="101"/>
                  <w:divBdr>
                    <w:top w:val="none" w:sz="0" w:space="0" w:color="auto"/>
                    <w:left w:val="none" w:sz="0" w:space="0" w:color="auto"/>
                    <w:bottom w:val="none" w:sz="0" w:space="0" w:color="auto"/>
                    <w:right w:val="none" w:sz="0" w:space="0" w:color="auto"/>
                  </w:divBdr>
                </w:div>
                <w:div w:id="242372027">
                  <w:marLeft w:val="1440"/>
                  <w:marRight w:val="0"/>
                  <w:marTop w:val="0"/>
                  <w:marBottom w:val="101"/>
                  <w:divBdr>
                    <w:top w:val="none" w:sz="0" w:space="0" w:color="auto"/>
                    <w:left w:val="none" w:sz="0" w:space="0" w:color="auto"/>
                    <w:bottom w:val="none" w:sz="0" w:space="0" w:color="auto"/>
                    <w:right w:val="none" w:sz="0" w:space="0" w:color="auto"/>
                  </w:divBdr>
                </w:div>
                <w:div w:id="706639179">
                  <w:marLeft w:val="1440"/>
                  <w:marRight w:val="0"/>
                  <w:marTop w:val="0"/>
                  <w:marBottom w:val="101"/>
                  <w:divBdr>
                    <w:top w:val="none" w:sz="0" w:space="0" w:color="auto"/>
                    <w:left w:val="none" w:sz="0" w:space="0" w:color="auto"/>
                    <w:bottom w:val="none" w:sz="0" w:space="0" w:color="auto"/>
                    <w:right w:val="none" w:sz="0" w:space="0" w:color="auto"/>
                  </w:divBdr>
                </w:div>
                <w:div w:id="1731002879">
                  <w:marLeft w:val="2160"/>
                  <w:marRight w:val="0"/>
                  <w:marTop w:val="0"/>
                  <w:marBottom w:val="101"/>
                  <w:divBdr>
                    <w:top w:val="none" w:sz="0" w:space="0" w:color="auto"/>
                    <w:left w:val="none" w:sz="0" w:space="0" w:color="auto"/>
                    <w:bottom w:val="none" w:sz="0" w:space="0" w:color="auto"/>
                    <w:right w:val="none" w:sz="0" w:space="0" w:color="auto"/>
                  </w:divBdr>
                </w:div>
                <w:div w:id="384572335">
                  <w:marLeft w:val="2160"/>
                  <w:marRight w:val="0"/>
                  <w:marTop w:val="0"/>
                  <w:marBottom w:val="101"/>
                  <w:divBdr>
                    <w:top w:val="none" w:sz="0" w:space="0" w:color="auto"/>
                    <w:left w:val="none" w:sz="0" w:space="0" w:color="auto"/>
                    <w:bottom w:val="none" w:sz="0" w:space="0" w:color="auto"/>
                    <w:right w:val="none" w:sz="0" w:space="0" w:color="auto"/>
                  </w:divBdr>
                </w:div>
                <w:div w:id="619074169">
                  <w:marLeft w:val="1440"/>
                  <w:marRight w:val="0"/>
                  <w:marTop w:val="0"/>
                  <w:marBottom w:val="101"/>
                  <w:divBdr>
                    <w:top w:val="none" w:sz="0" w:space="0" w:color="auto"/>
                    <w:left w:val="none" w:sz="0" w:space="0" w:color="auto"/>
                    <w:bottom w:val="none" w:sz="0" w:space="0" w:color="auto"/>
                    <w:right w:val="none" w:sz="0" w:space="0" w:color="auto"/>
                  </w:divBdr>
                </w:div>
                <w:div w:id="416638237">
                  <w:marLeft w:val="2160"/>
                  <w:marRight w:val="0"/>
                  <w:marTop w:val="0"/>
                  <w:marBottom w:val="101"/>
                  <w:divBdr>
                    <w:top w:val="none" w:sz="0" w:space="0" w:color="auto"/>
                    <w:left w:val="none" w:sz="0" w:space="0" w:color="auto"/>
                    <w:bottom w:val="none" w:sz="0" w:space="0" w:color="auto"/>
                    <w:right w:val="none" w:sz="0" w:space="0" w:color="auto"/>
                  </w:divBdr>
                </w:div>
                <w:div w:id="874930441">
                  <w:marLeft w:val="1440"/>
                  <w:marRight w:val="0"/>
                  <w:marTop w:val="0"/>
                  <w:marBottom w:val="101"/>
                  <w:divBdr>
                    <w:top w:val="none" w:sz="0" w:space="0" w:color="auto"/>
                    <w:left w:val="none" w:sz="0" w:space="0" w:color="auto"/>
                    <w:bottom w:val="none" w:sz="0" w:space="0" w:color="auto"/>
                    <w:right w:val="none" w:sz="0" w:space="0" w:color="auto"/>
                  </w:divBdr>
                </w:div>
                <w:div w:id="878856320">
                  <w:marLeft w:val="1440"/>
                  <w:marRight w:val="0"/>
                  <w:marTop w:val="0"/>
                  <w:marBottom w:val="101"/>
                  <w:divBdr>
                    <w:top w:val="none" w:sz="0" w:space="0" w:color="auto"/>
                    <w:left w:val="none" w:sz="0" w:space="0" w:color="auto"/>
                    <w:bottom w:val="none" w:sz="0" w:space="0" w:color="auto"/>
                    <w:right w:val="none" w:sz="0" w:space="0" w:color="auto"/>
                  </w:divBdr>
                </w:div>
                <w:div w:id="1917662985">
                  <w:marLeft w:val="1440"/>
                  <w:marRight w:val="0"/>
                  <w:marTop w:val="0"/>
                  <w:marBottom w:val="101"/>
                  <w:divBdr>
                    <w:top w:val="none" w:sz="0" w:space="0" w:color="auto"/>
                    <w:left w:val="none" w:sz="0" w:space="0" w:color="auto"/>
                    <w:bottom w:val="none" w:sz="0" w:space="0" w:color="auto"/>
                    <w:right w:val="none" w:sz="0" w:space="0" w:color="auto"/>
                  </w:divBdr>
                </w:div>
                <w:div w:id="1817143151">
                  <w:marLeft w:val="1440"/>
                  <w:marRight w:val="0"/>
                  <w:marTop w:val="0"/>
                  <w:marBottom w:val="101"/>
                  <w:divBdr>
                    <w:top w:val="none" w:sz="0" w:space="0" w:color="auto"/>
                    <w:left w:val="none" w:sz="0" w:space="0" w:color="auto"/>
                    <w:bottom w:val="none" w:sz="0" w:space="0" w:color="auto"/>
                    <w:right w:val="none" w:sz="0" w:space="0" w:color="auto"/>
                  </w:divBdr>
                </w:div>
                <w:div w:id="1166437632">
                  <w:marLeft w:val="1440"/>
                  <w:marRight w:val="0"/>
                  <w:marTop w:val="0"/>
                  <w:marBottom w:val="101"/>
                  <w:divBdr>
                    <w:top w:val="none" w:sz="0" w:space="0" w:color="auto"/>
                    <w:left w:val="none" w:sz="0" w:space="0" w:color="auto"/>
                    <w:bottom w:val="none" w:sz="0" w:space="0" w:color="auto"/>
                    <w:right w:val="none" w:sz="0" w:space="0" w:color="auto"/>
                  </w:divBdr>
                </w:div>
                <w:div w:id="1352100002">
                  <w:marLeft w:val="2160"/>
                  <w:marRight w:val="0"/>
                  <w:marTop w:val="0"/>
                  <w:marBottom w:val="101"/>
                  <w:divBdr>
                    <w:top w:val="none" w:sz="0" w:space="0" w:color="auto"/>
                    <w:left w:val="none" w:sz="0" w:space="0" w:color="auto"/>
                    <w:bottom w:val="none" w:sz="0" w:space="0" w:color="auto"/>
                    <w:right w:val="none" w:sz="0" w:space="0" w:color="auto"/>
                  </w:divBdr>
                </w:div>
                <w:div w:id="991905547">
                  <w:marLeft w:val="1440"/>
                  <w:marRight w:val="0"/>
                  <w:marTop w:val="0"/>
                  <w:marBottom w:val="101"/>
                  <w:divBdr>
                    <w:top w:val="none" w:sz="0" w:space="0" w:color="auto"/>
                    <w:left w:val="none" w:sz="0" w:space="0" w:color="auto"/>
                    <w:bottom w:val="none" w:sz="0" w:space="0" w:color="auto"/>
                    <w:right w:val="none" w:sz="0" w:space="0" w:color="auto"/>
                  </w:divBdr>
                </w:div>
                <w:div w:id="30226014">
                  <w:marLeft w:val="1440"/>
                  <w:marRight w:val="0"/>
                  <w:marTop w:val="0"/>
                  <w:marBottom w:val="101"/>
                  <w:divBdr>
                    <w:top w:val="none" w:sz="0" w:space="0" w:color="auto"/>
                    <w:left w:val="none" w:sz="0" w:space="0" w:color="auto"/>
                    <w:bottom w:val="none" w:sz="0" w:space="0" w:color="auto"/>
                    <w:right w:val="none" w:sz="0" w:space="0" w:color="auto"/>
                  </w:divBdr>
                </w:div>
                <w:div w:id="1174687753">
                  <w:marLeft w:val="1440"/>
                  <w:marRight w:val="0"/>
                  <w:marTop w:val="0"/>
                  <w:marBottom w:val="101"/>
                  <w:divBdr>
                    <w:top w:val="none" w:sz="0" w:space="0" w:color="auto"/>
                    <w:left w:val="none" w:sz="0" w:space="0" w:color="auto"/>
                    <w:bottom w:val="none" w:sz="0" w:space="0" w:color="auto"/>
                    <w:right w:val="none" w:sz="0" w:space="0" w:color="auto"/>
                  </w:divBdr>
                </w:div>
                <w:div w:id="294022579">
                  <w:marLeft w:val="1440"/>
                  <w:marRight w:val="0"/>
                  <w:marTop w:val="0"/>
                  <w:marBottom w:val="101"/>
                  <w:divBdr>
                    <w:top w:val="none" w:sz="0" w:space="0" w:color="auto"/>
                    <w:left w:val="none" w:sz="0" w:space="0" w:color="auto"/>
                    <w:bottom w:val="none" w:sz="0" w:space="0" w:color="auto"/>
                    <w:right w:val="none" w:sz="0" w:space="0" w:color="auto"/>
                  </w:divBdr>
                </w:div>
                <w:div w:id="591862792">
                  <w:marLeft w:val="1440"/>
                  <w:marRight w:val="0"/>
                  <w:marTop w:val="0"/>
                  <w:marBottom w:val="101"/>
                  <w:divBdr>
                    <w:top w:val="none" w:sz="0" w:space="0" w:color="auto"/>
                    <w:left w:val="none" w:sz="0" w:space="0" w:color="auto"/>
                    <w:bottom w:val="none" w:sz="0" w:space="0" w:color="auto"/>
                    <w:right w:val="none" w:sz="0" w:space="0" w:color="auto"/>
                  </w:divBdr>
                </w:div>
                <w:div w:id="1682391833">
                  <w:marLeft w:val="1440"/>
                  <w:marRight w:val="0"/>
                  <w:marTop w:val="0"/>
                  <w:marBottom w:val="101"/>
                  <w:divBdr>
                    <w:top w:val="none" w:sz="0" w:space="0" w:color="auto"/>
                    <w:left w:val="none" w:sz="0" w:space="0" w:color="auto"/>
                    <w:bottom w:val="none" w:sz="0" w:space="0" w:color="auto"/>
                    <w:right w:val="none" w:sz="0" w:space="0" w:color="auto"/>
                  </w:divBdr>
                </w:div>
                <w:div w:id="1043670931">
                  <w:marLeft w:val="1440"/>
                  <w:marRight w:val="0"/>
                  <w:marTop w:val="0"/>
                  <w:marBottom w:val="101"/>
                  <w:divBdr>
                    <w:top w:val="none" w:sz="0" w:space="0" w:color="auto"/>
                    <w:left w:val="none" w:sz="0" w:space="0" w:color="auto"/>
                    <w:bottom w:val="none" w:sz="0" w:space="0" w:color="auto"/>
                    <w:right w:val="none" w:sz="0" w:space="0" w:color="auto"/>
                  </w:divBdr>
                </w:div>
                <w:div w:id="1379622200">
                  <w:marLeft w:val="1440"/>
                  <w:marRight w:val="0"/>
                  <w:marTop w:val="0"/>
                  <w:marBottom w:val="101"/>
                  <w:divBdr>
                    <w:top w:val="none" w:sz="0" w:space="0" w:color="auto"/>
                    <w:left w:val="none" w:sz="0" w:space="0" w:color="auto"/>
                    <w:bottom w:val="none" w:sz="0" w:space="0" w:color="auto"/>
                    <w:right w:val="none" w:sz="0" w:space="0" w:color="auto"/>
                  </w:divBdr>
                </w:div>
                <w:div w:id="1454445630">
                  <w:marLeft w:val="1440"/>
                  <w:marRight w:val="0"/>
                  <w:marTop w:val="0"/>
                  <w:marBottom w:val="101"/>
                  <w:divBdr>
                    <w:top w:val="none" w:sz="0" w:space="0" w:color="auto"/>
                    <w:left w:val="none" w:sz="0" w:space="0" w:color="auto"/>
                    <w:bottom w:val="none" w:sz="0" w:space="0" w:color="auto"/>
                    <w:right w:val="none" w:sz="0" w:space="0" w:color="auto"/>
                  </w:divBdr>
                </w:div>
                <w:div w:id="675229347">
                  <w:marLeft w:val="1440"/>
                  <w:marRight w:val="0"/>
                  <w:marTop w:val="0"/>
                  <w:marBottom w:val="101"/>
                  <w:divBdr>
                    <w:top w:val="none" w:sz="0" w:space="0" w:color="auto"/>
                    <w:left w:val="none" w:sz="0" w:space="0" w:color="auto"/>
                    <w:bottom w:val="none" w:sz="0" w:space="0" w:color="auto"/>
                    <w:right w:val="none" w:sz="0" w:space="0" w:color="auto"/>
                  </w:divBdr>
                </w:div>
                <w:div w:id="964165984">
                  <w:marLeft w:val="1440"/>
                  <w:marRight w:val="0"/>
                  <w:marTop w:val="0"/>
                  <w:marBottom w:val="101"/>
                  <w:divBdr>
                    <w:top w:val="none" w:sz="0" w:space="0" w:color="auto"/>
                    <w:left w:val="none" w:sz="0" w:space="0" w:color="auto"/>
                    <w:bottom w:val="none" w:sz="0" w:space="0" w:color="auto"/>
                    <w:right w:val="none" w:sz="0" w:space="0" w:color="auto"/>
                  </w:divBdr>
                </w:div>
                <w:div w:id="941643312">
                  <w:marLeft w:val="1440"/>
                  <w:marRight w:val="0"/>
                  <w:marTop w:val="0"/>
                  <w:marBottom w:val="101"/>
                  <w:divBdr>
                    <w:top w:val="none" w:sz="0" w:space="0" w:color="auto"/>
                    <w:left w:val="none" w:sz="0" w:space="0" w:color="auto"/>
                    <w:bottom w:val="none" w:sz="0" w:space="0" w:color="auto"/>
                    <w:right w:val="none" w:sz="0" w:space="0" w:color="auto"/>
                  </w:divBdr>
                </w:div>
                <w:div w:id="544223236">
                  <w:marLeft w:val="1440"/>
                  <w:marRight w:val="0"/>
                  <w:marTop w:val="0"/>
                  <w:marBottom w:val="101"/>
                  <w:divBdr>
                    <w:top w:val="none" w:sz="0" w:space="0" w:color="auto"/>
                    <w:left w:val="none" w:sz="0" w:space="0" w:color="auto"/>
                    <w:bottom w:val="none" w:sz="0" w:space="0" w:color="auto"/>
                    <w:right w:val="none" w:sz="0" w:space="0" w:color="auto"/>
                  </w:divBdr>
                </w:div>
                <w:div w:id="614408828">
                  <w:marLeft w:val="1440"/>
                  <w:marRight w:val="0"/>
                  <w:marTop w:val="0"/>
                  <w:marBottom w:val="101"/>
                  <w:divBdr>
                    <w:top w:val="none" w:sz="0" w:space="0" w:color="auto"/>
                    <w:left w:val="none" w:sz="0" w:space="0" w:color="auto"/>
                    <w:bottom w:val="none" w:sz="0" w:space="0" w:color="auto"/>
                    <w:right w:val="none" w:sz="0" w:space="0" w:color="auto"/>
                  </w:divBdr>
                </w:div>
                <w:div w:id="110247498">
                  <w:marLeft w:val="1440"/>
                  <w:marRight w:val="0"/>
                  <w:marTop w:val="0"/>
                  <w:marBottom w:val="101"/>
                  <w:divBdr>
                    <w:top w:val="none" w:sz="0" w:space="0" w:color="auto"/>
                    <w:left w:val="none" w:sz="0" w:space="0" w:color="auto"/>
                    <w:bottom w:val="none" w:sz="0" w:space="0" w:color="auto"/>
                    <w:right w:val="none" w:sz="0" w:space="0" w:color="auto"/>
                  </w:divBdr>
                </w:div>
                <w:div w:id="634532260">
                  <w:marLeft w:val="1440"/>
                  <w:marRight w:val="0"/>
                  <w:marTop w:val="0"/>
                  <w:marBottom w:val="101"/>
                  <w:divBdr>
                    <w:top w:val="none" w:sz="0" w:space="0" w:color="auto"/>
                    <w:left w:val="none" w:sz="0" w:space="0" w:color="auto"/>
                    <w:bottom w:val="none" w:sz="0" w:space="0" w:color="auto"/>
                    <w:right w:val="none" w:sz="0" w:space="0" w:color="auto"/>
                  </w:divBdr>
                </w:div>
                <w:div w:id="2083721813">
                  <w:marLeft w:val="1440"/>
                  <w:marRight w:val="0"/>
                  <w:marTop w:val="0"/>
                  <w:marBottom w:val="101"/>
                  <w:divBdr>
                    <w:top w:val="none" w:sz="0" w:space="0" w:color="auto"/>
                    <w:left w:val="none" w:sz="0" w:space="0" w:color="auto"/>
                    <w:bottom w:val="none" w:sz="0" w:space="0" w:color="auto"/>
                    <w:right w:val="none" w:sz="0" w:space="0" w:color="auto"/>
                  </w:divBdr>
                </w:div>
                <w:div w:id="1117993370">
                  <w:marLeft w:val="1440"/>
                  <w:marRight w:val="0"/>
                  <w:marTop w:val="0"/>
                  <w:marBottom w:val="101"/>
                  <w:divBdr>
                    <w:top w:val="none" w:sz="0" w:space="0" w:color="auto"/>
                    <w:left w:val="none" w:sz="0" w:space="0" w:color="auto"/>
                    <w:bottom w:val="none" w:sz="0" w:space="0" w:color="auto"/>
                    <w:right w:val="none" w:sz="0" w:space="0" w:color="auto"/>
                  </w:divBdr>
                </w:div>
                <w:div w:id="1402020899">
                  <w:marLeft w:val="1440"/>
                  <w:marRight w:val="0"/>
                  <w:marTop w:val="0"/>
                  <w:marBottom w:val="101"/>
                  <w:divBdr>
                    <w:top w:val="none" w:sz="0" w:space="0" w:color="auto"/>
                    <w:left w:val="none" w:sz="0" w:space="0" w:color="auto"/>
                    <w:bottom w:val="none" w:sz="0" w:space="0" w:color="auto"/>
                    <w:right w:val="none" w:sz="0" w:space="0" w:color="auto"/>
                  </w:divBdr>
                </w:div>
                <w:div w:id="1600873219">
                  <w:marLeft w:val="1440"/>
                  <w:marRight w:val="0"/>
                  <w:marTop w:val="0"/>
                  <w:marBottom w:val="101"/>
                  <w:divBdr>
                    <w:top w:val="none" w:sz="0" w:space="0" w:color="auto"/>
                    <w:left w:val="none" w:sz="0" w:space="0" w:color="auto"/>
                    <w:bottom w:val="none" w:sz="0" w:space="0" w:color="auto"/>
                    <w:right w:val="none" w:sz="0" w:space="0" w:color="auto"/>
                  </w:divBdr>
                </w:div>
                <w:div w:id="401679150">
                  <w:marLeft w:val="1440"/>
                  <w:marRight w:val="0"/>
                  <w:marTop w:val="0"/>
                  <w:marBottom w:val="101"/>
                  <w:divBdr>
                    <w:top w:val="none" w:sz="0" w:space="0" w:color="auto"/>
                    <w:left w:val="none" w:sz="0" w:space="0" w:color="auto"/>
                    <w:bottom w:val="none" w:sz="0" w:space="0" w:color="auto"/>
                    <w:right w:val="none" w:sz="0" w:space="0" w:color="auto"/>
                  </w:divBdr>
                </w:div>
                <w:div w:id="562565965">
                  <w:marLeft w:val="1440"/>
                  <w:marRight w:val="0"/>
                  <w:marTop w:val="0"/>
                  <w:marBottom w:val="101"/>
                  <w:divBdr>
                    <w:top w:val="none" w:sz="0" w:space="0" w:color="auto"/>
                    <w:left w:val="none" w:sz="0" w:space="0" w:color="auto"/>
                    <w:bottom w:val="none" w:sz="0" w:space="0" w:color="auto"/>
                    <w:right w:val="none" w:sz="0" w:space="0" w:color="auto"/>
                  </w:divBdr>
                </w:div>
                <w:div w:id="30965067">
                  <w:marLeft w:val="1440"/>
                  <w:marRight w:val="0"/>
                  <w:marTop w:val="0"/>
                  <w:marBottom w:val="101"/>
                  <w:divBdr>
                    <w:top w:val="none" w:sz="0" w:space="0" w:color="auto"/>
                    <w:left w:val="none" w:sz="0" w:space="0" w:color="auto"/>
                    <w:bottom w:val="none" w:sz="0" w:space="0" w:color="auto"/>
                    <w:right w:val="none" w:sz="0" w:space="0" w:color="auto"/>
                  </w:divBdr>
                </w:div>
                <w:div w:id="1135489387">
                  <w:marLeft w:val="1440"/>
                  <w:marRight w:val="0"/>
                  <w:marTop w:val="0"/>
                  <w:marBottom w:val="101"/>
                  <w:divBdr>
                    <w:top w:val="none" w:sz="0" w:space="0" w:color="auto"/>
                    <w:left w:val="none" w:sz="0" w:space="0" w:color="auto"/>
                    <w:bottom w:val="none" w:sz="0" w:space="0" w:color="auto"/>
                    <w:right w:val="none" w:sz="0" w:space="0" w:color="auto"/>
                  </w:divBdr>
                </w:div>
                <w:div w:id="1803693338">
                  <w:marLeft w:val="2160"/>
                  <w:marRight w:val="0"/>
                  <w:marTop w:val="0"/>
                  <w:marBottom w:val="101"/>
                  <w:divBdr>
                    <w:top w:val="none" w:sz="0" w:space="0" w:color="auto"/>
                    <w:left w:val="none" w:sz="0" w:space="0" w:color="auto"/>
                    <w:bottom w:val="none" w:sz="0" w:space="0" w:color="auto"/>
                    <w:right w:val="none" w:sz="0" w:space="0" w:color="auto"/>
                  </w:divBdr>
                </w:div>
                <w:div w:id="1633900196">
                  <w:marLeft w:val="2160"/>
                  <w:marRight w:val="0"/>
                  <w:marTop w:val="0"/>
                  <w:marBottom w:val="101"/>
                  <w:divBdr>
                    <w:top w:val="none" w:sz="0" w:space="0" w:color="auto"/>
                    <w:left w:val="none" w:sz="0" w:space="0" w:color="auto"/>
                    <w:bottom w:val="none" w:sz="0" w:space="0" w:color="auto"/>
                    <w:right w:val="none" w:sz="0" w:space="0" w:color="auto"/>
                  </w:divBdr>
                </w:div>
                <w:div w:id="1677348093">
                  <w:marLeft w:val="2160"/>
                  <w:marRight w:val="0"/>
                  <w:marTop w:val="0"/>
                  <w:marBottom w:val="101"/>
                  <w:divBdr>
                    <w:top w:val="none" w:sz="0" w:space="0" w:color="auto"/>
                    <w:left w:val="none" w:sz="0" w:space="0" w:color="auto"/>
                    <w:bottom w:val="none" w:sz="0" w:space="0" w:color="auto"/>
                    <w:right w:val="none" w:sz="0" w:space="0" w:color="auto"/>
                  </w:divBdr>
                </w:div>
                <w:div w:id="474374880">
                  <w:marLeft w:val="2160"/>
                  <w:marRight w:val="0"/>
                  <w:marTop w:val="0"/>
                  <w:marBottom w:val="101"/>
                  <w:divBdr>
                    <w:top w:val="none" w:sz="0" w:space="0" w:color="auto"/>
                    <w:left w:val="none" w:sz="0" w:space="0" w:color="auto"/>
                    <w:bottom w:val="none" w:sz="0" w:space="0" w:color="auto"/>
                    <w:right w:val="none" w:sz="0" w:space="0" w:color="auto"/>
                  </w:divBdr>
                </w:div>
                <w:div w:id="1464469207">
                  <w:marLeft w:val="2160"/>
                  <w:marRight w:val="0"/>
                  <w:marTop w:val="0"/>
                  <w:marBottom w:val="101"/>
                  <w:divBdr>
                    <w:top w:val="none" w:sz="0" w:space="0" w:color="auto"/>
                    <w:left w:val="none" w:sz="0" w:space="0" w:color="auto"/>
                    <w:bottom w:val="none" w:sz="0" w:space="0" w:color="auto"/>
                    <w:right w:val="none" w:sz="0" w:space="0" w:color="auto"/>
                  </w:divBdr>
                </w:div>
                <w:div w:id="1932469556">
                  <w:marLeft w:val="2160"/>
                  <w:marRight w:val="0"/>
                  <w:marTop w:val="0"/>
                  <w:marBottom w:val="101"/>
                  <w:divBdr>
                    <w:top w:val="none" w:sz="0" w:space="0" w:color="auto"/>
                    <w:left w:val="none" w:sz="0" w:space="0" w:color="auto"/>
                    <w:bottom w:val="none" w:sz="0" w:space="0" w:color="auto"/>
                    <w:right w:val="none" w:sz="0" w:space="0" w:color="auto"/>
                  </w:divBdr>
                </w:div>
                <w:div w:id="1120805901">
                  <w:marLeft w:val="1440"/>
                  <w:marRight w:val="0"/>
                  <w:marTop w:val="0"/>
                  <w:marBottom w:val="101"/>
                  <w:divBdr>
                    <w:top w:val="none" w:sz="0" w:space="0" w:color="auto"/>
                    <w:left w:val="none" w:sz="0" w:space="0" w:color="auto"/>
                    <w:bottom w:val="none" w:sz="0" w:space="0" w:color="auto"/>
                    <w:right w:val="none" w:sz="0" w:space="0" w:color="auto"/>
                  </w:divBdr>
                </w:div>
                <w:div w:id="535583342">
                  <w:marLeft w:val="1440"/>
                  <w:marRight w:val="0"/>
                  <w:marTop w:val="0"/>
                  <w:marBottom w:val="101"/>
                  <w:divBdr>
                    <w:top w:val="none" w:sz="0" w:space="0" w:color="auto"/>
                    <w:left w:val="none" w:sz="0" w:space="0" w:color="auto"/>
                    <w:bottom w:val="none" w:sz="0" w:space="0" w:color="auto"/>
                    <w:right w:val="none" w:sz="0" w:space="0" w:color="auto"/>
                  </w:divBdr>
                </w:div>
                <w:div w:id="1293056823">
                  <w:marLeft w:val="1440"/>
                  <w:marRight w:val="0"/>
                  <w:marTop w:val="0"/>
                  <w:marBottom w:val="101"/>
                  <w:divBdr>
                    <w:top w:val="none" w:sz="0" w:space="0" w:color="auto"/>
                    <w:left w:val="none" w:sz="0" w:space="0" w:color="auto"/>
                    <w:bottom w:val="none" w:sz="0" w:space="0" w:color="auto"/>
                    <w:right w:val="none" w:sz="0" w:space="0" w:color="auto"/>
                  </w:divBdr>
                </w:div>
                <w:div w:id="415396855">
                  <w:marLeft w:val="1440"/>
                  <w:marRight w:val="0"/>
                  <w:marTop w:val="0"/>
                  <w:marBottom w:val="101"/>
                  <w:divBdr>
                    <w:top w:val="none" w:sz="0" w:space="0" w:color="auto"/>
                    <w:left w:val="none" w:sz="0" w:space="0" w:color="auto"/>
                    <w:bottom w:val="none" w:sz="0" w:space="0" w:color="auto"/>
                    <w:right w:val="none" w:sz="0" w:space="0" w:color="auto"/>
                  </w:divBdr>
                </w:div>
                <w:div w:id="2030403228">
                  <w:marLeft w:val="1440"/>
                  <w:marRight w:val="0"/>
                  <w:marTop w:val="0"/>
                  <w:marBottom w:val="101"/>
                  <w:divBdr>
                    <w:top w:val="none" w:sz="0" w:space="0" w:color="auto"/>
                    <w:left w:val="none" w:sz="0" w:space="0" w:color="auto"/>
                    <w:bottom w:val="none" w:sz="0" w:space="0" w:color="auto"/>
                    <w:right w:val="none" w:sz="0" w:space="0" w:color="auto"/>
                  </w:divBdr>
                </w:div>
                <w:div w:id="1332951353">
                  <w:marLeft w:val="1440"/>
                  <w:marRight w:val="0"/>
                  <w:marTop w:val="0"/>
                  <w:marBottom w:val="101"/>
                  <w:divBdr>
                    <w:top w:val="none" w:sz="0" w:space="0" w:color="auto"/>
                    <w:left w:val="none" w:sz="0" w:space="0" w:color="auto"/>
                    <w:bottom w:val="none" w:sz="0" w:space="0" w:color="auto"/>
                    <w:right w:val="none" w:sz="0" w:space="0" w:color="auto"/>
                  </w:divBdr>
                </w:div>
                <w:div w:id="1737120754">
                  <w:marLeft w:val="2160"/>
                  <w:marRight w:val="0"/>
                  <w:marTop w:val="0"/>
                  <w:marBottom w:val="101"/>
                  <w:divBdr>
                    <w:top w:val="none" w:sz="0" w:space="0" w:color="auto"/>
                    <w:left w:val="none" w:sz="0" w:space="0" w:color="auto"/>
                    <w:bottom w:val="none" w:sz="0" w:space="0" w:color="auto"/>
                    <w:right w:val="none" w:sz="0" w:space="0" w:color="auto"/>
                  </w:divBdr>
                </w:div>
                <w:div w:id="14230525">
                  <w:marLeft w:val="2592"/>
                  <w:marRight w:val="0"/>
                  <w:marTop w:val="0"/>
                  <w:marBottom w:val="101"/>
                  <w:divBdr>
                    <w:top w:val="none" w:sz="0" w:space="0" w:color="auto"/>
                    <w:left w:val="none" w:sz="0" w:space="0" w:color="auto"/>
                    <w:bottom w:val="none" w:sz="0" w:space="0" w:color="auto"/>
                    <w:right w:val="none" w:sz="0" w:space="0" w:color="auto"/>
                  </w:divBdr>
                </w:div>
                <w:div w:id="904144910">
                  <w:marLeft w:val="2592"/>
                  <w:marRight w:val="0"/>
                  <w:marTop w:val="0"/>
                  <w:marBottom w:val="101"/>
                  <w:divBdr>
                    <w:top w:val="none" w:sz="0" w:space="0" w:color="auto"/>
                    <w:left w:val="none" w:sz="0" w:space="0" w:color="auto"/>
                    <w:bottom w:val="none" w:sz="0" w:space="0" w:color="auto"/>
                    <w:right w:val="none" w:sz="0" w:space="0" w:color="auto"/>
                  </w:divBdr>
                </w:div>
                <w:div w:id="1000501338">
                  <w:marLeft w:val="2592"/>
                  <w:marRight w:val="0"/>
                  <w:marTop w:val="0"/>
                  <w:marBottom w:val="101"/>
                  <w:divBdr>
                    <w:top w:val="none" w:sz="0" w:space="0" w:color="auto"/>
                    <w:left w:val="none" w:sz="0" w:space="0" w:color="auto"/>
                    <w:bottom w:val="none" w:sz="0" w:space="0" w:color="auto"/>
                    <w:right w:val="none" w:sz="0" w:space="0" w:color="auto"/>
                  </w:divBdr>
                </w:div>
                <w:div w:id="1671060121">
                  <w:marLeft w:val="2160"/>
                  <w:marRight w:val="0"/>
                  <w:marTop w:val="0"/>
                  <w:marBottom w:val="101"/>
                  <w:divBdr>
                    <w:top w:val="none" w:sz="0" w:space="0" w:color="auto"/>
                    <w:left w:val="none" w:sz="0" w:space="0" w:color="auto"/>
                    <w:bottom w:val="none" w:sz="0" w:space="0" w:color="auto"/>
                    <w:right w:val="none" w:sz="0" w:space="0" w:color="auto"/>
                  </w:divBdr>
                </w:div>
                <w:div w:id="854465995">
                  <w:marLeft w:val="2592"/>
                  <w:marRight w:val="0"/>
                  <w:marTop w:val="0"/>
                  <w:marBottom w:val="101"/>
                  <w:divBdr>
                    <w:top w:val="none" w:sz="0" w:space="0" w:color="auto"/>
                    <w:left w:val="none" w:sz="0" w:space="0" w:color="auto"/>
                    <w:bottom w:val="none" w:sz="0" w:space="0" w:color="auto"/>
                    <w:right w:val="none" w:sz="0" w:space="0" w:color="auto"/>
                  </w:divBdr>
                </w:div>
                <w:div w:id="1973826522">
                  <w:marLeft w:val="2592"/>
                  <w:marRight w:val="0"/>
                  <w:marTop w:val="0"/>
                  <w:marBottom w:val="101"/>
                  <w:divBdr>
                    <w:top w:val="none" w:sz="0" w:space="0" w:color="auto"/>
                    <w:left w:val="none" w:sz="0" w:space="0" w:color="auto"/>
                    <w:bottom w:val="none" w:sz="0" w:space="0" w:color="auto"/>
                    <w:right w:val="none" w:sz="0" w:space="0" w:color="auto"/>
                  </w:divBdr>
                </w:div>
                <w:div w:id="1169634505">
                  <w:marLeft w:val="2592"/>
                  <w:marRight w:val="0"/>
                  <w:marTop w:val="0"/>
                  <w:marBottom w:val="101"/>
                  <w:divBdr>
                    <w:top w:val="none" w:sz="0" w:space="0" w:color="auto"/>
                    <w:left w:val="none" w:sz="0" w:space="0" w:color="auto"/>
                    <w:bottom w:val="none" w:sz="0" w:space="0" w:color="auto"/>
                    <w:right w:val="none" w:sz="0" w:space="0" w:color="auto"/>
                  </w:divBdr>
                </w:div>
                <w:div w:id="221791913">
                  <w:marLeft w:val="3024"/>
                  <w:marRight w:val="0"/>
                  <w:marTop w:val="0"/>
                  <w:marBottom w:val="101"/>
                  <w:divBdr>
                    <w:top w:val="none" w:sz="0" w:space="0" w:color="auto"/>
                    <w:left w:val="none" w:sz="0" w:space="0" w:color="auto"/>
                    <w:bottom w:val="none" w:sz="0" w:space="0" w:color="auto"/>
                    <w:right w:val="none" w:sz="0" w:space="0" w:color="auto"/>
                  </w:divBdr>
                </w:div>
                <w:div w:id="1657025939">
                  <w:marLeft w:val="3024"/>
                  <w:marRight w:val="0"/>
                  <w:marTop w:val="0"/>
                  <w:marBottom w:val="101"/>
                  <w:divBdr>
                    <w:top w:val="none" w:sz="0" w:space="0" w:color="auto"/>
                    <w:left w:val="none" w:sz="0" w:space="0" w:color="auto"/>
                    <w:bottom w:val="none" w:sz="0" w:space="0" w:color="auto"/>
                    <w:right w:val="none" w:sz="0" w:space="0" w:color="auto"/>
                  </w:divBdr>
                </w:div>
                <w:div w:id="1316689670">
                  <w:marLeft w:val="3024"/>
                  <w:marRight w:val="0"/>
                  <w:marTop w:val="0"/>
                  <w:marBottom w:val="101"/>
                  <w:divBdr>
                    <w:top w:val="none" w:sz="0" w:space="0" w:color="auto"/>
                    <w:left w:val="none" w:sz="0" w:space="0" w:color="auto"/>
                    <w:bottom w:val="none" w:sz="0" w:space="0" w:color="auto"/>
                    <w:right w:val="none" w:sz="0" w:space="0" w:color="auto"/>
                  </w:divBdr>
                </w:div>
                <w:div w:id="1382746228">
                  <w:marLeft w:val="2160"/>
                  <w:marRight w:val="0"/>
                  <w:marTop w:val="0"/>
                  <w:marBottom w:val="101"/>
                  <w:divBdr>
                    <w:top w:val="none" w:sz="0" w:space="0" w:color="auto"/>
                    <w:left w:val="none" w:sz="0" w:space="0" w:color="auto"/>
                    <w:bottom w:val="none" w:sz="0" w:space="0" w:color="auto"/>
                    <w:right w:val="none" w:sz="0" w:space="0" w:color="auto"/>
                  </w:divBdr>
                </w:div>
                <w:div w:id="1452749039">
                  <w:marLeft w:val="1440"/>
                  <w:marRight w:val="0"/>
                  <w:marTop w:val="0"/>
                  <w:marBottom w:val="101"/>
                  <w:divBdr>
                    <w:top w:val="none" w:sz="0" w:space="0" w:color="auto"/>
                    <w:left w:val="none" w:sz="0" w:space="0" w:color="auto"/>
                    <w:bottom w:val="none" w:sz="0" w:space="0" w:color="auto"/>
                    <w:right w:val="none" w:sz="0" w:space="0" w:color="auto"/>
                  </w:divBdr>
                </w:div>
                <w:div w:id="1642805858">
                  <w:marLeft w:val="1440"/>
                  <w:marRight w:val="0"/>
                  <w:marTop w:val="0"/>
                  <w:marBottom w:val="101"/>
                  <w:divBdr>
                    <w:top w:val="none" w:sz="0" w:space="0" w:color="auto"/>
                    <w:left w:val="none" w:sz="0" w:space="0" w:color="auto"/>
                    <w:bottom w:val="none" w:sz="0" w:space="0" w:color="auto"/>
                    <w:right w:val="none" w:sz="0" w:space="0" w:color="auto"/>
                  </w:divBdr>
                </w:div>
                <w:div w:id="1274635195">
                  <w:marLeft w:val="1440"/>
                  <w:marRight w:val="0"/>
                  <w:marTop w:val="0"/>
                  <w:marBottom w:val="101"/>
                  <w:divBdr>
                    <w:top w:val="none" w:sz="0" w:space="0" w:color="auto"/>
                    <w:left w:val="none" w:sz="0" w:space="0" w:color="auto"/>
                    <w:bottom w:val="none" w:sz="0" w:space="0" w:color="auto"/>
                    <w:right w:val="none" w:sz="0" w:space="0" w:color="auto"/>
                  </w:divBdr>
                </w:div>
                <w:div w:id="266230835">
                  <w:marLeft w:val="1440"/>
                  <w:marRight w:val="0"/>
                  <w:marTop w:val="0"/>
                  <w:marBottom w:val="101"/>
                  <w:divBdr>
                    <w:top w:val="none" w:sz="0" w:space="0" w:color="auto"/>
                    <w:left w:val="none" w:sz="0" w:space="0" w:color="auto"/>
                    <w:bottom w:val="none" w:sz="0" w:space="0" w:color="auto"/>
                    <w:right w:val="none" w:sz="0" w:space="0" w:color="auto"/>
                  </w:divBdr>
                </w:div>
                <w:div w:id="926572000">
                  <w:marLeft w:val="2160"/>
                  <w:marRight w:val="0"/>
                  <w:marTop w:val="0"/>
                  <w:marBottom w:val="101"/>
                  <w:divBdr>
                    <w:top w:val="none" w:sz="0" w:space="0" w:color="auto"/>
                    <w:left w:val="none" w:sz="0" w:space="0" w:color="auto"/>
                    <w:bottom w:val="none" w:sz="0" w:space="0" w:color="auto"/>
                    <w:right w:val="none" w:sz="0" w:space="0" w:color="auto"/>
                  </w:divBdr>
                </w:div>
                <w:div w:id="1919248642">
                  <w:marLeft w:val="2160"/>
                  <w:marRight w:val="0"/>
                  <w:marTop w:val="0"/>
                  <w:marBottom w:val="101"/>
                  <w:divBdr>
                    <w:top w:val="none" w:sz="0" w:space="0" w:color="auto"/>
                    <w:left w:val="none" w:sz="0" w:space="0" w:color="auto"/>
                    <w:bottom w:val="none" w:sz="0" w:space="0" w:color="auto"/>
                    <w:right w:val="none" w:sz="0" w:space="0" w:color="auto"/>
                  </w:divBdr>
                </w:div>
                <w:div w:id="245842003">
                  <w:marLeft w:val="2160"/>
                  <w:marRight w:val="0"/>
                  <w:marTop w:val="0"/>
                  <w:marBottom w:val="68"/>
                  <w:divBdr>
                    <w:top w:val="none" w:sz="0" w:space="0" w:color="auto"/>
                    <w:left w:val="none" w:sz="0" w:space="0" w:color="auto"/>
                    <w:bottom w:val="none" w:sz="0" w:space="0" w:color="auto"/>
                    <w:right w:val="none" w:sz="0" w:space="0" w:color="auto"/>
                  </w:divBdr>
                </w:div>
                <w:div w:id="1421216082">
                  <w:marLeft w:val="2160"/>
                  <w:marRight w:val="0"/>
                  <w:marTop w:val="0"/>
                  <w:marBottom w:val="68"/>
                  <w:divBdr>
                    <w:top w:val="none" w:sz="0" w:space="0" w:color="auto"/>
                    <w:left w:val="none" w:sz="0" w:space="0" w:color="auto"/>
                    <w:bottom w:val="none" w:sz="0" w:space="0" w:color="auto"/>
                    <w:right w:val="none" w:sz="0" w:space="0" w:color="auto"/>
                  </w:divBdr>
                </w:div>
                <w:div w:id="163789128">
                  <w:marLeft w:val="2160"/>
                  <w:marRight w:val="0"/>
                  <w:marTop w:val="0"/>
                  <w:marBottom w:val="68"/>
                  <w:divBdr>
                    <w:top w:val="none" w:sz="0" w:space="0" w:color="auto"/>
                    <w:left w:val="none" w:sz="0" w:space="0" w:color="auto"/>
                    <w:bottom w:val="none" w:sz="0" w:space="0" w:color="auto"/>
                    <w:right w:val="none" w:sz="0" w:space="0" w:color="auto"/>
                  </w:divBdr>
                </w:div>
                <w:div w:id="458449714">
                  <w:marLeft w:val="2160"/>
                  <w:marRight w:val="0"/>
                  <w:marTop w:val="0"/>
                  <w:marBottom w:val="68"/>
                  <w:divBdr>
                    <w:top w:val="none" w:sz="0" w:space="0" w:color="auto"/>
                    <w:left w:val="none" w:sz="0" w:space="0" w:color="auto"/>
                    <w:bottom w:val="none" w:sz="0" w:space="0" w:color="auto"/>
                    <w:right w:val="none" w:sz="0" w:space="0" w:color="auto"/>
                  </w:divBdr>
                </w:div>
                <w:div w:id="480276161">
                  <w:marLeft w:val="2160"/>
                  <w:marRight w:val="0"/>
                  <w:marTop w:val="0"/>
                  <w:marBottom w:val="68"/>
                  <w:divBdr>
                    <w:top w:val="none" w:sz="0" w:space="0" w:color="auto"/>
                    <w:left w:val="none" w:sz="0" w:space="0" w:color="auto"/>
                    <w:bottom w:val="none" w:sz="0" w:space="0" w:color="auto"/>
                    <w:right w:val="none" w:sz="0" w:space="0" w:color="auto"/>
                  </w:divBdr>
                </w:div>
                <w:div w:id="322514093">
                  <w:marLeft w:val="2160"/>
                  <w:marRight w:val="0"/>
                  <w:marTop w:val="0"/>
                  <w:marBottom w:val="68"/>
                  <w:divBdr>
                    <w:top w:val="none" w:sz="0" w:space="0" w:color="auto"/>
                    <w:left w:val="none" w:sz="0" w:space="0" w:color="auto"/>
                    <w:bottom w:val="none" w:sz="0" w:space="0" w:color="auto"/>
                    <w:right w:val="none" w:sz="0" w:space="0" w:color="auto"/>
                  </w:divBdr>
                </w:div>
                <w:div w:id="2040086413">
                  <w:marLeft w:val="2160"/>
                  <w:marRight w:val="0"/>
                  <w:marTop w:val="0"/>
                  <w:marBottom w:val="68"/>
                  <w:divBdr>
                    <w:top w:val="none" w:sz="0" w:space="0" w:color="auto"/>
                    <w:left w:val="none" w:sz="0" w:space="0" w:color="auto"/>
                    <w:bottom w:val="none" w:sz="0" w:space="0" w:color="auto"/>
                    <w:right w:val="none" w:sz="0" w:space="0" w:color="auto"/>
                  </w:divBdr>
                </w:div>
                <w:div w:id="828254585">
                  <w:marLeft w:val="2160"/>
                  <w:marRight w:val="0"/>
                  <w:marTop w:val="0"/>
                  <w:marBottom w:val="68"/>
                  <w:divBdr>
                    <w:top w:val="none" w:sz="0" w:space="0" w:color="auto"/>
                    <w:left w:val="none" w:sz="0" w:space="0" w:color="auto"/>
                    <w:bottom w:val="none" w:sz="0" w:space="0" w:color="auto"/>
                    <w:right w:val="none" w:sz="0" w:space="0" w:color="auto"/>
                  </w:divBdr>
                </w:div>
                <w:div w:id="477652374">
                  <w:marLeft w:val="2160"/>
                  <w:marRight w:val="0"/>
                  <w:marTop w:val="0"/>
                  <w:marBottom w:val="68"/>
                  <w:divBdr>
                    <w:top w:val="none" w:sz="0" w:space="0" w:color="auto"/>
                    <w:left w:val="none" w:sz="0" w:space="0" w:color="auto"/>
                    <w:bottom w:val="none" w:sz="0" w:space="0" w:color="auto"/>
                    <w:right w:val="none" w:sz="0" w:space="0" w:color="auto"/>
                  </w:divBdr>
                </w:div>
                <w:div w:id="1345748263">
                  <w:marLeft w:val="2592"/>
                  <w:marRight w:val="0"/>
                  <w:marTop w:val="0"/>
                  <w:marBottom w:val="68"/>
                  <w:divBdr>
                    <w:top w:val="none" w:sz="0" w:space="0" w:color="auto"/>
                    <w:left w:val="none" w:sz="0" w:space="0" w:color="auto"/>
                    <w:bottom w:val="none" w:sz="0" w:space="0" w:color="auto"/>
                    <w:right w:val="none" w:sz="0" w:space="0" w:color="auto"/>
                  </w:divBdr>
                </w:div>
                <w:div w:id="1961061088">
                  <w:marLeft w:val="2592"/>
                  <w:marRight w:val="0"/>
                  <w:marTop w:val="0"/>
                  <w:marBottom w:val="68"/>
                  <w:divBdr>
                    <w:top w:val="none" w:sz="0" w:space="0" w:color="auto"/>
                    <w:left w:val="none" w:sz="0" w:space="0" w:color="auto"/>
                    <w:bottom w:val="none" w:sz="0" w:space="0" w:color="auto"/>
                    <w:right w:val="none" w:sz="0" w:space="0" w:color="auto"/>
                  </w:divBdr>
                </w:div>
                <w:div w:id="1056785429">
                  <w:marLeft w:val="2592"/>
                  <w:marRight w:val="0"/>
                  <w:marTop w:val="0"/>
                  <w:marBottom w:val="68"/>
                  <w:divBdr>
                    <w:top w:val="none" w:sz="0" w:space="0" w:color="auto"/>
                    <w:left w:val="none" w:sz="0" w:space="0" w:color="auto"/>
                    <w:bottom w:val="none" w:sz="0" w:space="0" w:color="auto"/>
                    <w:right w:val="none" w:sz="0" w:space="0" w:color="auto"/>
                  </w:divBdr>
                </w:div>
                <w:div w:id="2004577119">
                  <w:marLeft w:val="2592"/>
                  <w:marRight w:val="0"/>
                  <w:marTop w:val="0"/>
                  <w:marBottom w:val="68"/>
                  <w:divBdr>
                    <w:top w:val="none" w:sz="0" w:space="0" w:color="auto"/>
                    <w:left w:val="none" w:sz="0" w:space="0" w:color="auto"/>
                    <w:bottom w:val="none" w:sz="0" w:space="0" w:color="auto"/>
                    <w:right w:val="none" w:sz="0" w:space="0" w:color="auto"/>
                  </w:divBdr>
                </w:div>
                <w:div w:id="1372878332">
                  <w:marLeft w:val="2592"/>
                  <w:marRight w:val="0"/>
                  <w:marTop w:val="0"/>
                  <w:marBottom w:val="101"/>
                  <w:divBdr>
                    <w:top w:val="none" w:sz="0" w:space="0" w:color="auto"/>
                    <w:left w:val="none" w:sz="0" w:space="0" w:color="auto"/>
                    <w:bottom w:val="none" w:sz="0" w:space="0" w:color="auto"/>
                    <w:right w:val="none" w:sz="0" w:space="0" w:color="auto"/>
                  </w:divBdr>
                </w:div>
                <w:div w:id="1812869970">
                  <w:marLeft w:val="2160"/>
                  <w:marRight w:val="0"/>
                  <w:marTop w:val="0"/>
                  <w:marBottom w:val="101"/>
                  <w:divBdr>
                    <w:top w:val="none" w:sz="0" w:space="0" w:color="auto"/>
                    <w:left w:val="none" w:sz="0" w:space="0" w:color="auto"/>
                    <w:bottom w:val="none" w:sz="0" w:space="0" w:color="auto"/>
                    <w:right w:val="none" w:sz="0" w:space="0" w:color="auto"/>
                  </w:divBdr>
                </w:div>
                <w:div w:id="1498227314">
                  <w:marLeft w:val="2160"/>
                  <w:marRight w:val="0"/>
                  <w:marTop w:val="0"/>
                  <w:marBottom w:val="101"/>
                  <w:divBdr>
                    <w:top w:val="none" w:sz="0" w:space="0" w:color="auto"/>
                    <w:left w:val="none" w:sz="0" w:space="0" w:color="auto"/>
                    <w:bottom w:val="none" w:sz="0" w:space="0" w:color="auto"/>
                    <w:right w:val="none" w:sz="0" w:space="0" w:color="auto"/>
                  </w:divBdr>
                </w:div>
                <w:div w:id="90663299">
                  <w:marLeft w:val="2160"/>
                  <w:marRight w:val="0"/>
                  <w:marTop w:val="0"/>
                  <w:marBottom w:val="101"/>
                  <w:divBdr>
                    <w:top w:val="none" w:sz="0" w:space="0" w:color="auto"/>
                    <w:left w:val="none" w:sz="0" w:space="0" w:color="auto"/>
                    <w:bottom w:val="none" w:sz="0" w:space="0" w:color="auto"/>
                    <w:right w:val="none" w:sz="0" w:space="0" w:color="auto"/>
                  </w:divBdr>
                </w:div>
                <w:div w:id="1715961781">
                  <w:marLeft w:val="2160"/>
                  <w:marRight w:val="0"/>
                  <w:marTop w:val="0"/>
                  <w:marBottom w:val="101"/>
                  <w:divBdr>
                    <w:top w:val="none" w:sz="0" w:space="0" w:color="auto"/>
                    <w:left w:val="none" w:sz="0" w:space="0" w:color="auto"/>
                    <w:bottom w:val="none" w:sz="0" w:space="0" w:color="auto"/>
                    <w:right w:val="none" w:sz="0" w:space="0" w:color="auto"/>
                  </w:divBdr>
                </w:div>
                <w:div w:id="1939287054">
                  <w:marLeft w:val="2160"/>
                  <w:marRight w:val="0"/>
                  <w:marTop w:val="0"/>
                  <w:marBottom w:val="101"/>
                  <w:divBdr>
                    <w:top w:val="none" w:sz="0" w:space="0" w:color="auto"/>
                    <w:left w:val="none" w:sz="0" w:space="0" w:color="auto"/>
                    <w:bottom w:val="none" w:sz="0" w:space="0" w:color="auto"/>
                    <w:right w:val="none" w:sz="0" w:space="0" w:color="auto"/>
                  </w:divBdr>
                </w:div>
                <w:div w:id="573320678">
                  <w:marLeft w:val="1440"/>
                  <w:marRight w:val="0"/>
                  <w:marTop w:val="0"/>
                  <w:marBottom w:val="101"/>
                  <w:divBdr>
                    <w:top w:val="none" w:sz="0" w:space="0" w:color="auto"/>
                    <w:left w:val="none" w:sz="0" w:space="0" w:color="auto"/>
                    <w:bottom w:val="none" w:sz="0" w:space="0" w:color="auto"/>
                    <w:right w:val="none" w:sz="0" w:space="0" w:color="auto"/>
                  </w:divBdr>
                </w:div>
                <w:div w:id="2009599404">
                  <w:marLeft w:val="1440"/>
                  <w:marRight w:val="0"/>
                  <w:marTop w:val="0"/>
                  <w:marBottom w:val="101"/>
                  <w:divBdr>
                    <w:top w:val="none" w:sz="0" w:space="0" w:color="auto"/>
                    <w:left w:val="none" w:sz="0" w:space="0" w:color="auto"/>
                    <w:bottom w:val="none" w:sz="0" w:space="0" w:color="auto"/>
                    <w:right w:val="none" w:sz="0" w:space="0" w:color="auto"/>
                  </w:divBdr>
                </w:div>
                <w:div w:id="28575244">
                  <w:marLeft w:val="2160"/>
                  <w:marRight w:val="0"/>
                  <w:marTop w:val="0"/>
                  <w:marBottom w:val="101"/>
                  <w:divBdr>
                    <w:top w:val="none" w:sz="0" w:space="0" w:color="auto"/>
                    <w:left w:val="none" w:sz="0" w:space="0" w:color="auto"/>
                    <w:bottom w:val="none" w:sz="0" w:space="0" w:color="auto"/>
                    <w:right w:val="none" w:sz="0" w:space="0" w:color="auto"/>
                  </w:divBdr>
                </w:div>
                <w:div w:id="254946928">
                  <w:marLeft w:val="2160"/>
                  <w:marRight w:val="0"/>
                  <w:marTop w:val="0"/>
                  <w:marBottom w:val="101"/>
                  <w:divBdr>
                    <w:top w:val="none" w:sz="0" w:space="0" w:color="auto"/>
                    <w:left w:val="none" w:sz="0" w:space="0" w:color="auto"/>
                    <w:bottom w:val="none" w:sz="0" w:space="0" w:color="auto"/>
                    <w:right w:val="none" w:sz="0" w:space="0" w:color="auto"/>
                  </w:divBdr>
                </w:div>
                <w:div w:id="413478373">
                  <w:marLeft w:val="1440"/>
                  <w:marRight w:val="0"/>
                  <w:marTop w:val="0"/>
                  <w:marBottom w:val="101"/>
                  <w:divBdr>
                    <w:top w:val="none" w:sz="0" w:space="0" w:color="auto"/>
                    <w:left w:val="none" w:sz="0" w:space="0" w:color="auto"/>
                    <w:bottom w:val="none" w:sz="0" w:space="0" w:color="auto"/>
                    <w:right w:val="none" w:sz="0" w:space="0" w:color="auto"/>
                  </w:divBdr>
                </w:div>
                <w:div w:id="1144807796">
                  <w:marLeft w:val="1440"/>
                  <w:marRight w:val="0"/>
                  <w:marTop w:val="0"/>
                  <w:marBottom w:val="101"/>
                  <w:divBdr>
                    <w:top w:val="none" w:sz="0" w:space="0" w:color="auto"/>
                    <w:left w:val="none" w:sz="0" w:space="0" w:color="auto"/>
                    <w:bottom w:val="none" w:sz="0" w:space="0" w:color="auto"/>
                    <w:right w:val="none" w:sz="0" w:space="0" w:color="auto"/>
                  </w:divBdr>
                </w:div>
                <w:div w:id="850871589">
                  <w:marLeft w:val="1440"/>
                  <w:marRight w:val="0"/>
                  <w:marTop w:val="0"/>
                  <w:marBottom w:val="101"/>
                  <w:divBdr>
                    <w:top w:val="none" w:sz="0" w:space="0" w:color="auto"/>
                    <w:left w:val="none" w:sz="0" w:space="0" w:color="auto"/>
                    <w:bottom w:val="none" w:sz="0" w:space="0" w:color="auto"/>
                    <w:right w:val="none" w:sz="0" w:space="0" w:color="auto"/>
                  </w:divBdr>
                </w:div>
                <w:div w:id="873351632">
                  <w:marLeft w:val="1440"/>
                  <w:marRight w:val="0"/>
                  <w:marTop w:val="0"/>
                  <w:marBottom w:val="101"/>
                  <w:divBdr>
                    <w:top w:val="none" w:sz="0" w:space="0" w:color="auto"/>
                    <w:left w:val="none" w:sz="0" w:space="0" w:color="auto"/>
                    <w:bottom w:val="none" w:sz="0" w:space="0" w:color="auto"/>
                    <w:right w:val="none" w:sz="0" w:space="0" w:color="auto"/>
                  </w:divBdr>
                </w:div>
                <w:div w:id="1029648723">
                  <w:marLeft w:val="1440"/>
                  <w:marRight w:val="0"/>
                  <w:marTop w:val="0"/>
                  <w:marBottom w:val="101"/>
                  <w:divBdr>
                    <w:top w:val="none" w:sz="0" w:space="0" w:color="auto"/>
                    <w:left w:val="none" w:sz="0" w:space="0" w:color="auto"/>
                    <w:bottom w:val="none" w:sz="0" w:space="0" w:color="auto"/>
                    <w:right w:val="none" w:sz="0" w:space="0" w:color="auto"/>
                  </w:divBdr>
                </w:div>
                <w:div w:id="1172796326">
                  <w:marLeft w:val="1440"/>
                  <w:marRight w:val="0"/>
                  <w:marTop w:val="0"/>
                  <w:marBottom w:val="101"/>
                  <w:divBdr>
                    <w:top w:val="none" w:sz="0" w:space="0" w:color="auto"/>
                    <w:left w:val="none" w:sz="0" w:space="0" w:color="auto"/>
                    <w:bottom w:val="none" w:sz="0" w:space="0" w:color="auto"/>
                    <w:right w:val="none" w:sz="0" w:space="0" w:color="auto"/>
                  </w:divBdr>
                </w:div>
                <w:div w:id="1692804962">
                  <w:marLeft w:val="1440"/>
                  <w:marRight w:val="0"/>
                  <w:marTop w:val="0"/>
                  <w:marBottom w:val="101"/>
                  <w:divBdr>
                    <w:top w:val="none" w:sz="0" w:space="0" w:color="auto"/>
                    <w:left w:val="none" w:sz="0" w:space="0" w:color="auto"/>
                    <w:bottom w:val="none" w:sz="0" w:space="0" w:color="auto"/>
                    <w:right w:val="none" w:sz="0" w:space="0" w:color="auto"/>
                  </w:divBdr>
                </w:div>
                <w:div w:id="1553924973">
                  <w:marLeft w:val="1440"/>
                  <w:marRight w:val="0"/>
                  <w:marTop w:val="0"/>
                  <w:marBottom w:val="101"/>
                  <w:divBdr>
                    <w:top w:val="none" w:sz="0" w:space="0" w:color="auto"/>
                    <w:left w:val="none" w:sz="0" w:space="0" w:color="auto"/>
                    <w:bottom w:val="none" w:sz="0" w:space="0" w:color="auto"/>
                    <w:right w:val="none" w:sz="0" w:space="0" w:color="auto"/>
                  </w:divBdr>
                </w:div>
                <w:div w:id="1689288553">
                  <w:marLeft w:val="1440"/>
                  <w:marRight w:val="0"/>
                  <w:marTop w:val="0"/>
                  <w:marBottom w:val="101"/>
                  <w:divBdr>
                    <w:top w:val="none" w:sz="0" w:space="0" w:color="auto"/>
                    <w:left w:val="none" w:sz="0" w:space="0" w:color="auto"/>
                    <w:bottom w:val="none" w:sz="0" w:space="0" w:color="auto"/>
                    <w:right w:val="none" w:sz="0" w:space="0" w:color="auto"/>
                  </w:divBdr>
                </w:div>
                <w:div w:id="525171562">
                  <w:marLeft w:val="1440"/>
                  <w:marRight w:val="0"/>
                  <w:marTop w:val="0"/>
                  <w:marBottom w:val="101"/>
                  <w:divBdr>
                    <w:top w:val="none" w:sz="0" w:space="0" w:color="auto"/>
                    <w:left w:val="none" w:sz="0" w:space="0" w:color="auto"/>
                    <w:bottom w:val="none" w:sz="0" w:space="0" w:color="auto"/>
                    <w:right w:val="none" w:sz="0" w:space="0" w:color="auto"/>
                  </w:divBdr>
                </w:div>
                <w:div w:id="835419023">
                  <w:marLeft w:val="1440"/>
                  <w:marRight w:val="0"/>
                  <w:marTop w:val="0"/>
                  <w:marBottom w:val="101"/>
                  <w:divBdr>
                    <w:top w:val="none" w:sz="0" w:space="0" w:color="auto"/>
                    <w:left w:val="none" w:sz="0" w:space="0" w:color="auto"/>
                    <w:bottom w:val="none" w:sz="0" w:space="0" w:color="auto"/>
                    <w:right w:val="none" w:sz="0" w:space="0" w:color="auto"/>
                  </w:divBdr>
                </w:div>
                <w:div w:id="1014065546">
                  <w:marLeft w:val="1440"/>
                  <w:marRight w:val="0"/>
                  <w:marTop w:val="0"/>
                  <w:marBottom w:val="101"/>
                  <w:divBdr>
                    <w:top w:val="none" w:sz="0" w:space="0" w:color="auto"/>
                    <w:left w:val="none" w:sz="0" w:space="0" w:color="auto"/>
                    <w:bottom w:val="none" w:sz="0" w:space="0" w:color="auto"/>
                    <w:right w:val="none" w:sz="0" w:space="0" w:color="auto"/>
                  </w:divBdr>
                </w:div>
                <w:div w:id="1788818126">
                  <w:marLeft w:val="1440"/>
                  <w:marRight w:val="0"/>
                  <w:marTop w:val="0"/>
                  <w:marBottom w:val="101"/>
                  <w:divBdr>
                    <w:top w:val="none" w:sz="0" w:space="0" w:color="auto"/>
                    <w:left w:val="none" w:sz="0" w:space="0" w:color="auto"/>
                    <w:bottom w:val="none" w:sz="0" w:space="0" w:color="auto"/>
                    <w:right w:val="none" w:sz="0" w:space="0" w:color="auto"/>
                  </w:divBdr>
                </w:div>
                <w:div w:id="522599034">
                  <w:marLeft w:val="1440"/>
                  <w:marRight w:val="0"/>
                  <w:marTop w:val="0"/>
                  <w:marBottom w:val="101"/>
                  <w:divBdr>
                    <w:top w:val="none" w:sz="0" w:space="0" w:color="auto"/>
                    <w:left w:val="none" w:sz="0" w:space="0" w:color="auto"/>
                    <w:bottom w:val="none" w:sz="0" w:space="0" w:color="auto"/>
                    <w:right w:val="none" w:sz="0" w:space="0" w:color="auto"/>
                  </w:divBdr>
                </w:div>
                <w:div w:id="2099449022">
                  <w:marLeft w:val="1440"/>
                  <w:marRight w:val="0"/>
                  <w:marTop w:val="0"/>
                  <w:marBottom w:val="101"/>
                  <w:divBdr>
                    <w:top w:val="none" w:sz="0" w:space="0" w:color="auto"/>
                    <w:left w:val="none" w:sz="0" w:space="0" w:color="auto"/>
                    <w:bottom w:val="none" w:sz="0" w:space="0" w:color="auto"/>
                    <w:right w:val="none" w:sz="0" w:space="0" w:color="auto"/>
                  </w:divBdr>
                </w:div>
                <w:div w:id="1642730314">
                  <w:marLeft w:val="1440"/>
                  <w:marRight w:val="0"/>
                  <w:marTop w:val="0"/>
                  <w:marBottom w:val="101"/>
                  <w:divBdr>
                    <w:top w:val="none" w:sz="0" w:space="0" w:color="auto"/>
                    <w:left w:val="none" w:sz="0" w:space="0" w:color="auto"/>
                    <w:bottom w:val="none" w:sz="0" w:space="0" w:color="auto"/>
                    <w:right w:val="none" w:sz="0" w:space="0" w:color="auto"/>
                  </w:divBdr>
                </w:div>
                <w:div w:id="222639553">
                  <w:marLeft w:val="1440"/>
                  <w:marRight w:val="0"/>
                  <w:marTop w:val="0"/>
                  <w:marBottom w:val="101"/>
                  <w:divBdr>
                    <w:top w:val="none" w:sz="0" w:space="0" w:color="auto"/>
                    <w:left w:val="none" w:sz="0" w:space="0" w:color="auto"/>
                    <w:bottom w:val="none" w:sz="0" w:space="0" w:color="auto"/>
                    <w:right w:val="none" w:sz="0" w:space="0" w:color="auto"/>
                  </w:divBdr>
                </w:div>
                <w:div w:id="1182553313">
                  <w:marLeft w:val="1440"/>
                  <w:marRight w:val="0"/>
                  <w:marTop w:val="0"/>
                  <w:marBottom w:val="101"/>
                  <w:divBdr>
                    <w:top w:val="none" w:sz="0" w:space="0" w:color="auto"/>
                    <w:left w:val="none" w:sz="0" w:space="0" w:color="auto"/>
                    <w:bottom w:val="none" w:sz="0" w:space="0" w:color="auto"/>
                    <w:right w:val="none" w:sz="0" w:space="0" w:color="auto"/>
                  </w:divBdr>
                </w:div>
                <w:div w:id="1505052998">
                  <w:marLeft w:val="1440"/>
                  <w:marRight w:val="0"/>
                  <w:marTop w:val="0"/>
                  <w:marBottom w:val="101"/>
                  <w:divBdr>
                    <w:top w:val="none" w:sz="0" w:space="0" w:color="auto"/>
                    <w:left w:val="none" w:sz="0" w:space="0" w:color="auto"/>
                    <w:bottom w:val="none" w:sz="0" w:space="0" w:color="auto"/>
                    <w:right w:val="none" w:sz="0" w:space="0" w:color="auto"/>
                  </w:divBdr>
                </w:div>
                <w:div w:id="628972534">
                  <w:marLeft w:val="1440"/>
                  <w:marRight w:val="0"/>
                  <w:marTop w:val="0"/>
                  <w:marBottom w:val="101"/>
                  <w:divBdr>
                    <w:top w:val="none" w:sz="0" w:space="0" w:color="auto"/>
                    <w:left w:val="none" w:sz="0" w:space="0" w:color="auto"/>
                    <w:bottom w:val="none" w:sz="0" w:space="0" w:color="auto"/>
                    <w:right w:val="none" w:sz="0" w:space="0" w:color="auto"/>
                  </w:divBdr>
                </w:div>
                <w:div w:id="542862143">
                  <w:marLeft w:val="1440"/>
                  <w:marRight w:val="0"/>
                  <w:marTop w:val="0"/>
                  <w:marBottom w:val="101"/>
                  <w:divBdr>
                    <w:top w:val="none" w:sz="0" w:space="0" w:color="auto"/>
                    <w:left w:val="none" w:sz="0" w:space="0" w:color="auto"/>
                    <w:bottom w:val="none" w:sz="0" w:space="0" w:color="auto"/>
                    <w:right w:val="none" w:sz="0" w:space="0" w:color="auto"/>
                  </w:divBdr>
                </w:div>
                <w:div w:id="1966348041">
                  <w:marLeft w:val="1440"/>
                  <w:marRight w:val="0"/>
                  <w:marTop w:val="0"/>
                  <w:marBottom w:val="101"/>
                  <w:divBdr>
                    <w:top w:val="none" w:sz="0" w:space="0" w:color="auto"/>
                    <w:left w:val="none" w:sz="0" w:space="0" w:color="auto"/>
                    <w:bottom w:val="none" w:sz="0" w:space="0" w:color="auto"/>
                    <w:right w:val="none" w:sz="0" w:space="0" w:color="auto"/>
                  </w:divBdr>
                </w:div>
                <w:div w:id="869800259">
                  <w:marLeft w:val="1440"/>
                  <w:marRight w:val="0"/>
                  <w:marTop w:val="0"/>
                  <w:marBottom w:val="80"/>
                  <w:divBdr>
                    <w:top w:val="none" w:sz="0" w:space="0" w:color="auto"/>
                    <w:left w:val="none" w:sz="0" w:space="0" w:color="auto"/>
                    <w:bottom w:val="none" w:sz="0" w:space="0" w:color="auto"/>
                    <w:right w:val="none" w:sz="0" w:space="0" w:color="auto"/>
                  </w:divBdr>
                </w:div>
                <w:div w:id="915744824">
                  <w:marLeft w:val="1440"/>
                  <w:marRight w:val="0"/>
                  <w:marTop w:val="0"/>
                  <w:marBottom w:val="80"/>
                  <w:divBdr>
                    <w:top w:val="none" w:sz="0" w:space="0" w:color="auto"/>
                    <w:left w:val="none" w:sz="0" w:space="0" w:color="auto"/>
                    <w:bottom w:val="none" w:sz="0" w:space="0" w:color="auto"/>
                    <w:right w:val="none" w:sz="0" w:space="0" w:color="auto"/>
                  </w:divBdr>
                </w:div>
                <w:div w:id="2105302997">
                  <w:marLeft w:val="1440"/>
                  <w:marRight w:val="0"/>
                  <w:marTop w:val="0"/>
                  <w:marBottom w:val="80"/>
                  <w:divBdr>
                    <w:top w:val="none" w:sz="0" w:space="0" w:color="auto"/>
                    <w:left w:val="none" w:sz="0" w:space="0" w:color="auto"/>
                    <w:bottom w:val="none" w:sz="0" w:space="0" w:color="auto"/>
                    <w:right w:val="none" w:sz="0" w:space="0" w:color="auto"/>
                  </w:divBdr>
                </w:div>
                <w:div w:id="499656259">
                  <w:marLeft w:val="1440"/>
                  <w:marRight w:val="0"/>
                  <w:marTop w:val="0"/>
                  <w:marBottom w:val="80"/>
                  <w:divBdr>
                    <w:top w:val="none" w:sz="0" w:space="0" w:color="auto"/>
                    <w:left w:val="none" w:sz="0" w:space="0" w:color="auto"/>
                    <w:bottom w:val="none" w:sz="0" w:space="0" w:color="auto"/>
                    <w:right w:val="none" w:sz="0" w:space="0" w:color="auto"/>
                  </w:divBdr>
                </w:div>
                <w:div w:id="1773352241">
                  <w:marLeft w:val="1440"/>
                  <w:marRight w:val="0"/>
                  <w:marTop w:val="0"/>
                  <w:marBottom w:val="80"/>
                  <w:divBdr>
                    <w:top w:val="none" w:sz="0" w:space="0" w:color="auto"/>
                    <w:left w:val="none" w:sz="0" w:space="0" w:color="auto"/>
                    <w:bottom w:val="none" w:sz="0" w:space="0" w:color="auto"/>
                    <w:right w:val="none" w:sz="0" w:space="0" w:color="auto"/>
                  </w:divBdr>
                </w:div>
                <w:div w:id="884368662">
                  <w:marLeft w:val="1440"/>
                  <w:marRight w:val="0"/>
                  <w:marTop w:val="0"/>
                  <w:marBottom w:val="80"/>
                  <w:divBdr>
                    <w:top w:val="none" w:sz="0" w:space="0" w:color="auto"/>
                    <w:left w:val="none" w:sz="0" w:space="0" w:color="auto"/>
                    <w:bottom w:val="none" w:sz="0" w:space="0" w:color="auto"/>
                    <w:right w:val="none" w:sz="0" w:space="0" w:color="auto"/>
                  </w:divBdr>
                </w:div>
                <w:div w:id="376244637">
                  <w:marLeft w:val="1440"/>
                  <w:marRight w:val="0"/>
                  <w:marTop w:val="0"/>
                  <w:marBottom w:val="80"/>
                  <w:divBdr>
                    <w:top w:val="none" w:sz="0" w:space="0" w:color="auto"/>
                    <w:left w:val="none" w:sz="0" w:space="0" w:color="auto"/>
                    <w:bottom w:val="none" w:sz="0" w:space="0" w:color="auto"/>
                    <w:right w:val="none" w:sz="0" w:space="0" w:color="auto"/>
                  </w:divBdr>
                </w:div>
                <w:div w:id="1222212057">
                  <w:marLeft w:val="1440"/>
                  <w:marRight w:val="0"/>
                  <w:marTop w:val="0"/>
                  <w:marBottom w:val="80"/>
                  <w:divBdr>
                    <w:top w:val="none" w:sz="0" w:space="0" w:color="auto"/>
                    <w:left w:val="none" w:sz="0" w:space="0" w:color="auto"/>
                    <w:bottom w:val="none" w:sz="0" w:space="0" w:color="auto"/>
                    <w:right w:val="none" w:sz="0" w:space="0" w:color="auto"/>
                  </w:divBdr>
                </w:div>
                <w:div w:id="539974195">
                  <w:marLeft w:val="2160"/>
                  <w:marRight w:val="0"/>
                  <w:marTop w:val="0"/>
                  <w:marBottom w:val="80"/>
                  <w:divBdr>
                    <w:top w:val="none" w:sz="0" w:space="0" w:color="auto"/>
                    <w:left w:val="none" w:sz="0" w:space="0" w:color="auto"/>
                    <w:bottom w:val="none" w:sz="0" w:space="0" w:color="auto"/>
                    <w:right w:val="none" w:sz="0" w:space="0" w:color="auto"/>
                  </w:divBdr>
                </w:div>
                <w:div w:id="2005550483">
                  <w:marLeft w:val="2160"/>
                  <w:marRight w:val="0"/>
                  <w:marTop w:val="0"/>
                  <w:marBottom w:val="80"/>
                  <w:divBdr>
                    <w:top w:val="none" w:sz="0" w:space="0" w:color="auto"/>
                    <w:left w:val="none" w:sz="0" w:space="0" w:color="auto"/>
                    <w:bottom w:val="none" w:sz="0" w:space="0" w:color="auto"/>
                    <w:right w:val="none" w:sz="0" w:space="0" w:color="auto"/>
                  </w:divBdr>
                </w:div>
                <w:div w:id="655381137">
                  <w:marLeft w:val="2160"/>
                  <w:marRight w:val="0"/>
                  <w:marTop w:val="0"/>
                  <w:marBottom w:val="80"/>
                  <w:divBdr>
                    <w:top w:val="none" w:sz="0" w:space="0" w:color="auto"/>
                    <w:left w:val="none" w:sz="0" w:space="0" w:color="auto"/>
                    <w:bottom w:val="none" w:sz="0" w:space="0" w:color="auto"/>
                    <w:right w:val="none" w:sz="0" w:space="0" w:color="auto"/>
                  </w:divBdr>
                </w:div>
                <w:div w:id="679434372">
                  <w:marLeft w:val="2160"/>
                  <w:marRight w:val="0"/>
                  <w:marTop w:val="0"/>
                  <w:marBottom w:val="80"/>
                  <w:divBdr>
                    <w:top w:val="none" w:sz="0" w:space="0" w:color="auto"/>
                    <w:left w:val="none" w:sz="0" w:space="0" w:color="auto"/>
                    <w:bottom w:val="none" w:sz="0" w:space="0" w:color="auto"/>
                    <w:right w:val="none" w:sz="0" w:space="0" w:color="auto"/>
                  </w:divBdr>
                </w:div>
                <w:div w:id="1503620613">
                  <w:marLeft w:val="1440"/>
                  <w:marRight w:val="0"/>
                  <w:marTop w:val="0"/>
                  <w:marBottom w:val="80"/>
                  <w:divBdr>
                    <w:top w:val="none" w:sz="0" w:space="0" w:color="auto"/>
                    <w:left w:val="none" w:sz="0" w:space="0" w:color="auto"/>
                    <w:bottom w:val="none" w:sz="0" w:space="0" w:color="auto"/>
                    <w:right w:val="none" w:sz="0" w:space="0" w:color="auto"/>
                  </w:divBdr>
                </w:div>
                <w:div w:id="1817606280">
                  <w:marLeft w:val="1440"/>
                  <w:marRight w:val="0"/>
                  <w:marTop w:val="0"/>
                  <w:marBottom w:val="80"/>
                  <w:divBdr>
                    <w:top w:val="none" w:sz="0" w:space="0" w:color="auto"/>
                    <w:left w:val="none" w:sz="0" w:space="0" w:color="auto"/>
                    <w:bottom w:val="none" w:sz="0" w:space="0" w:color="auto"/>
                    <w:right w:val="none" w:sz="0" w:space="0" w:color="auto"/>
                  </w:divBdr>
                </w:div>
                <w:div w:id="577403921">
                  <w:marLeft w:val="1440"/>
                  <w:marRight w:val="0"/>
                  <w:marTop w:val="0"/>
                  <w:marBottom w:val="80"/>
                  <w:divBdr>
                    <w:top w:val="none" w:sz="0" w:space="0" w:color="auto"/>
                    <w:left w:val="none" w:sz="0" w:space="0" w:color="auto"/>
                    <w:bottom w:val="none" w:sz="0" w:space="0" w:color="auto"/>
                    <w:right w:val="none" w:sz="0" w:space="0" w:color="auto"/>
                  </w:divBdr>
                </w:div>
                <w:div w:id="1335187768">
                  <w:marLeft w:val="1440"/>
                  <w:marRight w:val="0"/>
                  <w:marTop w:val="0"/>
                  <w:marBottom w:val="80"/>
                  <w:divBdr>
                    <w:top w:val="none" w:sz="0" w:space="0" w:color="auto"/>
                    <w:left w:val="none" w:sz="0" w:space="0" w:color="auto"/>
                    <w:bottom w:val="none" w:sz="0" w:space="0" w:color="auto"/>
                    <w:right w:val="none" w:sz="0" w:space="0" w:color="auto"/>
                  </w:divBdr>
                </w:div>
                <w:div w:id="1423336291">
                  <w:marLeft w:val="2160"/>
                  <w:marRight w:val="0"/>
                  <w:marTop w:val="0"/>
                  <w:marBottom w:val="80"/>
                  <w:divBdr>
                    <w:top w:val="none" w:sz="0" w:space="0" w:color="auto"/>
                    <w:left w:val="none" w:sz="0" w:space="0" w:color="auto"/>
                    <w:bottom w:val="none" w:sz="0" w:space="0" w:color="auto"/>
                    <w:right w:val="none" w:sz="0" w:space="0" w:color="auto"/>
                  </w:divBdr>
                </w:div>
                <w:div w:id="1696229196">
                  <w:marLeft w:val="2160"/>
                  <w:marRight w:val="0"/>
                  <w:marTop w:val="0"/>
                  <w:marBottom w:val="101"/>
                  <w:divBdr>
                    <w:top w:val="none" w:sz="0" w:space="0" w:color="auto"/>
                    <w:left w:val="none" w:sz="0" w:space="0" w:color="auto"/>
                    <w:bottom w:val="none" w:sz="0" w:space="0" w:color="auto"/>
                    <w:right w:val="none" w:sz="0" w:space="0" w:color="auto"/>
                  </w:divBdr>
                </w:div>
                <w:div w:id="1875463788">
                  <w:marLeft w:val="2160"/>
                  <w:marRight w:val="0"/>
                  <w:marTop w:val="0"/>
                  <w:marBottom w:val="101"/>
                  <w:divBdr>
                    <w:top w:val="none" w:sz="0" w:space="0" w:color="auto"/>
                    <w:left w:val="none" w:sz="0" w:space="0" w:color="auto"/>
                    <w:bottom w:val="none" w:sz="0" w:space="0" w:color="auto"/>
                    <w:right w:val="none" w:sz="0" w:space="0" w:color="auto"/>
                  </w:divBdr>
                </w:div>
                <w:div w:id="822819934">
                  <w:marLeft w:val="2160"/>
                  <w:marRight w:val="0"/>
                  <w:marTop w:val="0"/>
                  <w:marBottom w:val="101"/>
                  <w:divBdr>
                    <w:top w:val="none" w:sz="0" w:space="0" w:color="auto"/>
                    <w:left w:val="none" w:sz="0" w:space="0" w:color="auto"/>
                    <w:bottom w:val="none" w:sz="0" w:space="0" w:color="auto"/>
                    <w:right w:val="none" w:sz="0" w:space="0" w:color="auto"/>
                  </w:divBdr>
                </w:div>
                <w:div w:id="1945307096">
                  <w:marLeft w:val="2160"/>
                  <w:marRight w:val="0"/>
                  <w:marTop w:val="0"/>
                  <w:marBottom w:val="101"/>
                  <w:divBdr>
                    <w:top w:val="none" w:sz="0" w:space="0" w:color="auto"/>
                    <w:left w:val="none" w:sz="0" w:space="0" w:color="auto"/>
                    <w:bottom w:val="none" w:sz="0" w:space="0" w:color="auto"/>
                    <w:right w:val="none" w:sz="0" w:space="0" w:color="auto"/>
                  </w:divBdr>
                </w:div>
                <w:div w:id="1960793918">
                  <w:marLeft w:val="2160"/>
                  <w:marRight w:val="0"/>
                  <w:marTop w:val="0"/>
                  <w:marBottom w:val="101"/>
                  <w:divBdr>
                    <w:top w:val="none" w:sz="0" w:space="0" w:color="auto"/>
                    <w:left w:val="none" w:sz="0" w:space="0" w:color="auto"/>
                    <w:bottom w:val="none" w:sz="0" w:space="0" w:color="auto"/>
                    <w:right w:val="none" w:sz="0" w:space="0" w:color="auto"/>
                  </w:divBdr>
                </w:div>
                <w:div w:id="2103913919">
                  <w:marLeft w:val="2160"/>
                  <w:marRight w:val="0"/>
                  <w:marTop w:val="0"/>
                  <w:marBottom w:val="101"/>
                  <w:divBdr>
                    <w:top w:val="none" w:sz="0" w:space="0" w:color="auto"/>
                    <w:left w:val="none" w:sz="0" w:space="0" w:color="auto"/>
                    <w:bottom w:val="none" w:sz="0" w:space="0" w:color="auto"/>
                    <w:right w:val="none" w:sz="0" w:space="0" w:color="auto"/>
                  </w:divBdr>
                </w:div>
                <w:div w:id="325519641">
                  <w:marLeft w:val="1440"/>
                  <w:marRight w:val="0"/>
                  <w:marTop w:val="0"/>
                  <w:marBottom w:val="101"/>
                  <w:divBdr>
                    <w:top w:val="none" w:sz="0" w:space="0" w:color="auto"/>
                    <w:left w:val="none" w:sz="0" w:space="0" w:color="auto"/>
                    <w:bottom w:val="none" w:sz="0" w:space="0" w:color="auto"/>
                    <w:right w:val="none" w:sz="0" w:space="0" w:color="auto"/>
                  </w:divBdr>
                </w:div>
                <w:div w:id="2080128627">
                  <w:marLeft w:val="1440"/>
                  <w:marRight w:val="0"/>
                  <w:marTop w:val="0"/>
                  <w:marBottom w:val="101"/>
                  <w:divBdr>
                    <w:top w:val="none" w:sz="0" w:space="0" w:color="auto"/>
                    <w:left w:val="none" w:sz="0" w:space="0" w:color="auto"/>
                    <w:bottom w:val="none" w:sz="0" w:space="0" w:color="auto"/>
                    <w:right w:val="none" w:sz="0" w:space="0" w:color="auto"/>
                  </w:divBdr>
                </w:div>
                <w:div w:id="1345552347">
                  <w:marLeft w:val="1440"/>
                  <w:marRight w:val="0"/>
                  <w:marTop w:val="0"/>
                  <w:marBottom w:val="101"/>
                  <w:divBdr>
                    <w:top w:val="none" w:sz="0" w:space="0" w:color="auto"/>
                    <w:left w:val="none" w:sz="0" w:space="0" w:color="auto"/>
                    <w:bottom w:val="none" w:sz="0" w:space="0" w:color="auto"/>
                    <w:right w:val="none" w:sz="0" w:space="0" w:color="auto"/>
                  </w:divBdr>
                </w:div>
                <w:div w:id="315694593">
                  <w:marLeft w:val="1440"/>
                  <w:marRight w:val="0"/>
                  <w:marTop w:val="0"/>
                  <w:marBottom w:val="101"/>
                  <w:divBdr>
                    <w:top w:val="none" w:sz="0" w:space="0" w:color="auto"/>
                    <w:left w:val="none" w:sz="0" w:space="0" w:color="auto"/>
                    <w:bottom w:val="none" w:sz="0" w:space="0" w:color="auto"/>
                    <w:right w:val="none" w:sz="0" w:space="0" w:color="auto"/>
                  </w:divBdr>
                </w:div>
                <w:div w:id="703138454">
                  <w:marLeft w:val="1440"/>
                  <w:marRight w:val="0"/>
                  <w:marTop w:val="0"/>
                  <w:marBottom w:val="101"/>
                  <w:divBdr>
                    <w:top w:val="none" w:sz="0" w:space="0" w:color="auto"/>
                    <w:left w:val="none" w:sz="0" w:space="0" w:color="auto"/>
                    <w:bottom w:val="none" w:sz="0" w:space="0" w:color="auto"/>
                    <w:right w:val="none" w:sz="0" w:space="0" w:color="auto"/>
                  </w:divBdr>
                </w:div>
                <w:div w:id="701515430">
                  <w:marLeft w:val="1440"/>
                  <w:marRight w:val="0"/>
                  <w:marTop w:val="0"/>
                  <w:marBottom w:val="101"/>
                  <w:divBdr>
                    <w:top w:val="none" w:sz="0" w:space="0" w:color="auto"/>
                    <w:left w:val="none" w:sz="0" w:space="0" w:color="auto"/>
                    <w:bottom w:val="none" w:sz="0" w:space="0" w:color="auto"/>
                    <w:right w:val="none" w:sz="0" w:space="0" w:color="auto"/>
                  </w:divBdr>
                </w:div>
                <w:div w:id="2021737484">
                  <w:marLeft w:val="1440"/>
                  <w:marRight w:val="0"/>
                  <w:marTop w:val="0"/>
                  <w:marBottom w:val="101"/>
                  <w:divBdr>
                    <w:top w:val="none" w:sz="0" w:space="0" w:color="auto"/>
                    <w:left w:val="none" w:sz="0" w:space="0" w:color="auto"/>
                    <w:bottom w:val="none" w:sz="0" w:space="0" w:color="auto"/>
                    <w:right w:val="none" w:sz="0" w:space="0" w:color="auto"/>
                  </w:divBdr>
                </w:div>
                <w:div w:id="699627871">
                  <w:marLeft w:val="1440"/>
                  <w:marRight w:val="0"/>
                  <w:marTop w:val="0"/>
                  <w:marBottom w:val="101"/>
                  <w:divBdr>
                    <w:top w:val="none" w:sz="0" w:space="0" w:color="auto"/>
                    <w:left w:val="none" w:sz="0" w:space="0" w:color="auto"/>
                    <w:bottom w:val="none" w:sz="0" w:space="0" w:color="auto"/>
                    <w:right w:val="none" w:sz="0" w:space="0" w:color="auto"/>
                  </w:divBdr>
                </w:div>
                <w:div w:id="1734354503">
                  <w:marLeft w:val="1440"/>
                  <w:marRight w:val="0"/>
                  <w:marTop w:val="0"/>
                  <w:marBottom w:val="80"/>
                  <w:divBdr>
                    <w:top w:val="none" w:sz="0" w:space="0" w:color="auto"/>
                    <w:left w:val="none" w:sz="0" w:space="0" w:color="auto"/>
                    <w:bottom w:val="none" w:sz="0" w:space="0" w:color="auto"/>
                    <w:right w:val="none" w:sz="0" w:space="0" w:color="auto"/>
                  </w:divBdr>
                </w:div>
                <w:div w:id="132522382">
                  <w:marLeft w:val="1440"/>
                  <w:marRight w:val="0"/>
                  <w:marTop w:val="0"/>
                  <w:marBottom w:val="80"/>
                  <w:divBdr>
                    <w:top w:val="none" w:sz="0" w:space="0" w:color="auto"/>
                    <w:left w:val="none" w:sz="0" w:space="0" w:color="auto"/>
                    <w:bottom w:val="none" w:sz="0" w:space="0" w:color="auto"/>
                    <w:right w:val="none" w:sz="0" w:space="0" w:color="auto"/>
                  </w:divBdr>
                </w:div>
                <w:div w:id="1553153829">
                  <w:marLeft w:val="1440"/>
                  <w:marRight w:val="0"/>
                  <w:marTop w:val="0"/>
                  <w:marBottom w:val="80"/>
                  <w:divBdr>
                    <w:top w:val="none" w:sz="0" w:space="0" w:color="auto"/>
                    <w:left w:val="none" w:sz="0" w:space="0" w:color="auto"/>
                    <w:bottom w:val="none" w:sz="0" w:space="0" w:color="auto"/>
                    <w:right w:val="none" w:sz="0" w:space="0" w:color="auto"/>
                  </w:divBdr>
                </w:div>
                <w:div w:id="2131319918">
                  <w:marLeft w:val="1440"/>
                  <w:marRight w:val="0"/>
                  <w:marTop w:val="0"/>
                  <w:marBottom w:val="80"/>
                  <w:divBdr>
                    <w:top w:val="none" w:sz="0" w:space="0" w:color="auto"/>
                    <w:left w:val="none" w:sz="0" w:space="0" w:color="auto"/>
                    <w:bottom w:val="none" w:sz="0" w:space="0" w:color="auto"/>
                    <w:right w:val="none" w:sz="0" w:space="0" w:color="auto"/>
                  </w:divBdr>
                </w:div>
                <w:div w:id="2113012411">
                  <w:marLeft w:val="1440"/>
                  <w:marRight w:val="0"/>
                  <w:marTop w:val="0"/>
                  <w:marBottom w:val="80"/>
                  <w:divBdr>
                    <w:top w:val="none" w:sz="0" w:space="0" w:color="auto"/>
                    <w:left w:val="none" w:sz="0" w:space="0" w:color="auto"/>
                    <w:bottom w:val="none" w:sz="0" w:space="0" w:color="auto"/>
                    <w:right w:val="none" w:sz="0" w:space="0" w:color="auto"/>
                  </w:divBdr>
                </w:div>
                <w:div w:id="937559345">
                  <w:marLeft w:val="1440"/>
                  <w:marRight w:val="0"/>
                  <w:marTop w:val="0"/>
                  <w:marBottom w:val="80"/>
                  <w:divBdr>
                    <w:top w:val="none" w:sz="0" w:space="0" w:color="auto"/>
                    <w:left w:val="none" w:sz="0" w:space="0" w:color="auto"/>
                    <w:bottom w:val="none" w:sz="0" w:space="0" w:color="auto"/>
                    <w:right w:val="none" w:sz="0" w:space="0" w:color="auto"/>
                  </w:divBdr>
                </w:div>
                <w:div w:id="906768845">
                  <w:marLeft w:val="1440"/>
                  <w:marRight w:val="0"/>
                  <w:marTop w:val="0"/>
                  <w:marBottom w:val="80"/>
                  <w:divBdr>
                    <w:top w:val="none" w:sz="0" w:space="0" w:color="auto"/>
                    <w:left w:val="none" w:sz="0" w:space="0" w:color="auto"/>
                    <w:bottom w:val="none" w:sz="0" w:space="0" w:color="auto"/>
                    <w:right w:val="none" w:sz="0" w:space="0" w:color="auto"/>
                  </w:divBdr>
                </w:div>
                <w:div w:id="325669138">
                  <w:marLeft w:val="1440"/>
                  <w:marRight w:val="0"/>
                  <w:marTop w:val="0"/>
                  <w:marBottom w:val="80"/>
                  <w:divBdr>
                    <w:top w:val="none" w:sz="0" w:space="0" w:color="auto"/>
                    <w:left w:val="none" w:sz="0" w:space="0" w:color="auto"/>
                    <w:bottom w:val="none" w:sz="0" w:space="0" w:color="auto"/>
                    <w:right w:val="none" w:sz="0" w:space="0" w:color="auto"/>
                  </w:divBdr>
                </w:div>
                <w:div w:id="1018310866">
                  <w:marLeft w:val="1440"/>
                  <w:marRight w:val="0"/>
                  <w:marTop w:val="0"/>
                  <w:marBottom w:val="80"/>
                  <w:divBdr>
                    <w:top w:val="none" w:sz="0" w:space="0" w:color="auto"/>
                    <w:left w:val="none" w:sz="0" w:space="0" w:color="auto"/>
                    <w:bottom w:val="none" w:sz="0" w:space="0" w:color="auto"/>
                    <w:right w:val="none" w:sz="0" w:space="0" w:color="auto"/>
                  </w:divBdr>
                </w:div>
                <w:div w:id="2117824554">
                  <w:marLeft w:val="1440"/>
                  <w:marRight w:val="0"/>
                  <w:marTop w:val="0"/>
                  <w:marBottom w:val="80"/>
                  <w:divBdr>
                    <w:top w:val="none" w:sz="0" w:space="0" w:color="auto"/>
                    <w:left w:val="none" w:sz="0" w:space="0" w:color="auto"/>
                    <w:bottom w:val="none" w:sz="0" w:space="0" w:color="auto"/>
                    <w:right w:val="none" w:sz="0" w:space="0" w:color="auto"/>
                  </w:divBdr>
                </w:div>
                <w:div w:id="589655729">
                  <w:marLeft w:val="1440"/>
                  <w:marRight w:val="0"/>
                  <w:marTop w:val="0"/>
                  <w:marBottom w:val="80"/>
                  <w:divBdr>
                    <w:top w:val="none" w:sz="0" w:space="0" w:color="auto"/>
                    <w:left w:val="none" w:sz="0" w:space="0" w:color="auto"/>
                    <w:bottom w:val="none" w:sz="0" w:space="0" w:color="auto"/>
                    <w:right w:val="none" w:sz="0" w:space="0" w:color="auto"/>
                  </w:divBdr>
                </w:div>
                <w:div w:id="693386444">
                  <w:marLeft w:val="1440"/>
                  <w:marRight w:val="0"/>
                  <w:marTop w:val="0"/>
                  <w:marBottom w:val="80"/>
                  <w:divBdr>
                    <w:top w:val="none" w:sz="0" w:space="0" w:color="auto"/>
                    <w:left w:val="none" w:sz="0" w:space="0" w:color="auto"/>
                    <w:bottom w:val="none" w:sz="0" w:space="0" w:color="auto"/>
                    <w:right w:val="none" w:sz="0" w:space="0" w:color="auto"/>
                  </w:divBdr>
                </w:div>
                <w:div w:id="38016154">
                  <w:marLeft w:val="1440"/>
                  <w:marRight w:val="0"/>
                  <w:marTop w:val="0"/>
                  <w:marBottom w:val="80"/>
                  <w:divBdr>
                    <w:top w:val="none" w:sz="0" w:space="0" w:color="auto"/>
                    <w:left w:val="none" w:sz="0" w:space="0" w:color="auto"/>
                    <w:bottom w:val="none" w:sz="0" w:space="0" w:color="auto"/>
                    <w:right w:val="none" w:sz="0" w:space="0" w:color="auto"/>
                  </w:divBdr>
                </w:div>
                <w:div w:id="1784306848">
                  <w:marLeft w:val="1440"/>
                  <w:marRight w:val="0"/>
                  <w:marTop w:val="0"/>
                  <w:marBottom w:val="80"/>
                  <w:divBdr>
                    <w:top w:val="none" w:sz="0" w:space="0" w:color="auto"/>
                    <w:left w:val="none" w:sz="0" w:space="0" w:color="auto"/>
                    <w:bottom w:val="none" w:sz="0" w:space="0" w:color="auto"/>
                    <w:right w:val="none" w:sz="0" w:space="0" w:color="auto"/>
                  </w:divBdr>
                </w:div>
                <w:div w:id="146165318">
                  <w:marLeft w:val="1440"/>
                  <w:marRight w:val="0"/>
                  <w:marTop w:val="0"/>
                  <w:marBottom w:val="101"/>
                  <w:divBdr>
                    <w:top w:val="none" w:sz="0" w:space="0" w:color="auto"/>
                    <w:left w:val="none" w:sz="0" w:space="0" w:color="auto"/>
                    <w:bottom w:val="none" w:sz="0" w:space="0" w:color="auto"/>
                    <w:right w:val="none" w:sz="0" w:space="0" w:color="auto"/>
                  </w:divBdr>
                </w:div>
                <w:div w:id="1652833358">
                  <w:marLeft w:val="2160"/>
                  <w:marRight w:val="0"/>
                  <w:marTop w:val="0"/>
                  <w:marBottom w:val="100"/>
                  <w:divBdr>
                    <w:top w:val="none" w:sz="0" w:space="0" w:color="auto"/>
                    <w:left w:val="none" w:sz="0" w:space="0" w:color="auto"/>
                    <w:bottom w:val="none" w:sz="0" w:space="0" w:color="auto"/>
                    <w:right w:val="none" w:sz="0" w:space="0" w:color="auto"/>
                  </w:divBdr>
                </w:div>
                <w:div w:id="384959351">
                  <w:marLeft w:val="2160"/>
                  <w:marRight w:val="0"/>
                  <w:marTop w:val="0"/>
                  <w:marBottom w:val="100"/>
                  <w:divBdr>
                    <w:top w:val="none" w:sz="0" w:space="0" w:color="auto"/>
                    <w:left w:val="none" w:sz="0" w:space="0" w:color="auto"/>
                    <w:bottom w:val="none" w:sz="0" w:space="0" w:color="auto"/>
                    <w:right w:val="none" w:sz="0" w:space="0" w:color="auto"/>
                  </w:divBdr>
                </w:div>
                <w:div w:id="1734311071">
                  <w:marLeft w:val="2592"/>
                  <w:marRight w:val="0"/>
                  <w:marTop w:val="0"/>
                  <w:marBottom w:val="100"/>
                  <w:divBdr>
                    <w:top w:val="none" w:sz="0" w:space="0" w:color="auto"/>
                    <w:left w:val="none" w:sz="0" w:space="0" w:color="auto"/>
                    <w:bottom w:val="none" w:sz="0" w:space="0" w:color="auto"/>
                    <w:right w:val="none" w:sz="0" w:space="0" w:color="auto"/>
                  </w:divBdr>
                </w:div>
                <w:div w:id="335424191">
                  <w:marLeft w:val="2592"/>
                  <w:marRight w:val="0"/>
                  <w:marTop w:val="0"/>
                  <w:marBottom w:val="100"/>
                  <w:divBdr>
                    <w:top w:val="none" w:sz="0" w:space="0" w:color="auto"/>
                    <w:left w:val="none" w:sz="0" w:space="0" w:color="auto"/>
                    <w:bottom w:val="none" w:sz="0" w:space="0" w:color="auto"/>
                    <w:right w:val="none" w:sz="0" w:space="0" w:color="auto"/>
                  </w:divBdr>
                </w:div>
                <w:div w:id="1764960727">
                  <w:marLeft w:val="2592"/>
                  <w:marRight w:val="0"/>
                  <w:marTop w:val="0"/>
                  <w:marBottom w:val="100"/>
                  <w:divBdr>
                    <w:top w:val="none" w:sz="0" w:space="0" w:color="auto"/>
                    <w:left w:val="none" w:sz="0" w:space="0" w:color="auto"/>
                    <w:bottom w:val="none" w:sz="0" w:space="0" w:color="auto"/>
                    <w:right w:val="none" w:sz="0" w:space="0" w:color="auto"/>
                  </w:divBdr>
                </w:div>
                <w:div w:id="876895344">
                  <w:marLeft w:val="2592"/>
                  <w:marRight w:val="0"/>
                  <w:marTop w:val="0"/>
                  <w:marBottom w:val="100"/>
                  <w:divBdr>
                    <w:top w:val="none" w:sz="0" w:space="0" w:color="auto"/>
                    <w:left w:val="none" w:sz="0" w:space="0" w:color="auto"/>
                    <w:bottom w:val="none" w:sz="0" w:space="0" w:color="auto"/>
                    <w:right w:val="none" w:sz="0" w:space="0" w:color="auto"/>
                  </w:divBdr>
                </w:div>
                <w:div w:id="1542937083">
                  <w:marLeft w:val="2592"/>
                  <w:marRight w:val="0"/>
                  <w:marTop w:val="0"/>
                  <w:marBottom w:val="100"/>
                  <w:divBdr>
                    <w:top w:val="none" w:sz="0" w:space="0" w:color="auto"/>
                    <w:left w:val="none" w:sz="0" w:space="0" w:color="auto"/>
                    <w:bottom w:val="none" w:sz="0" w:space="0" w:color="auto"/>
                    <w:right w:val="none" w:sz="0" w:space="0" w:color="auto"/>
                  </w:divBdr>
                </w:div>
                <w:div w:id="630012908">
                  <w:marLeft w:val="2160"/>
                  <w:marRight w:val="0"/>
                  <w:marTop w:val="0"/>
                  <w:marBottom w:val="100"/>
                  <w:divBdr>
                    <w:top w:val="none" w:sz="0" w:space="0" w:color="auto"/>
                    <w:left w:val="none" w:sz="0" w:space="0" w:color="auto"/>
                    <w:bottom w:val="none" w:sz="0" w:space="0" w:color="auto"/>
                    <w:right w:val="none" w:sz="0" w:space="0" w:color="auto"/>
                  </w:divBdr>
                </w:div>
                <w:div w:id="1585450539">
                  <w:marLeft w:val="2592"/>
                  <w:marRight w:val="0"/>
                  <w:marTop w:val="0"/>
                  <w:marBottom w:val="100"/>
                  <w:divBdr>
                    <w:top w:val="none" w:sz="0" w:space="0" w:color="auto"/>
                    <w:left w:val="none" w:sz="0" w:space="0" w:color="auto"/>
                    <w:bottom w:val="none" w:sz="0" w:space="0" w:color="auto"/>
                    <w:right w:val="none" w:sz="0" w:space="0" w:color="auto"/>
                  </w:divBdr>
                </w:div>
                <w:div w:id="453791130">
                  <w:marLeft w:val="2592"/>
                  <w:marRight w:val="0"/>
                  <w:marTop w:val="0"/>
                  <w:marBottom w:val="100"/>
                  <w:divBdr>
                    <w:top w:val="none" w:sz="0" w:space="0" w:color="auto"/>
                    <w:left w:val="none" w:sz="0" w:space="0" w:color="auto"/>
                    <w:bottom w:val="none" w:sz="0" w:space="0" w:color="auto"/>
                    <w:right w:val="none" w:sz="0" w:space="0" w:color="auto"/>
                  </w:divBdr>
                </w:div>
                <w:div w:id="888104151">
                  <w:marLeft w:val="2592"/>
                  <w:marRight w:val="0"/>
                  <w:marTop w:val="0"/>
                  <w:marBottom w:val="100"/>
                  <w:divBdr>
                    <w:top w:val="none" w:sz="0" w:space="0" w:color="auto"/>
                    <w:left w:val="none" w:sz="0" w:space="0" w:color="auto"/>
                    <w:bottom w:val="none" w:sz="0" w:space="0" w:color="auto"/>
                    <w:right w:val="none" w:sz="0" w:space="0" w:color="auto"/>
                  </w:divBdr>
                </w:div>
                <w:div w:id="1009674377">
                  <w:marLeft w:val="2592"/>
                  <w:marRight w:val="0"/>
                  <w:marTop w:val="0"/>
                  <w:marBottom w:val="100"/>
                  <w:divBdr>
                    <w:top w:val="none" w:sz="0" w:space="0" w:color="auto"/>
                    <w:left w:val="none" w:sz="0" w:space="0" w:color="auto"/>
                    <w:bottom w:val="none" w:sz="0" w:space="0" w:color="auto"/>
                    <w:right w:val="none" w:sz="0" w:space="0" w:color="auto"/>
                  </w:divBdr>
                </w:div>
                <w:div w:id="1879967851">
                  <w:marLeft w:val="2592"/>
                  <w:marRight w:val="0"/>
                  <w:marTop w:val="0"/>
                  <w:marBottom w:val="100"/>
                  <w:divBdr>
                    <w:top w:val="none" w:sz="0" w:space="0" w:color="auto"/>
                    <w:left w:val="none" w:sz="0" w:space="0" w:color="auto"/>
                    <w:bottom w:val="none" w:sz="0" w:space="0" w:color="auto"/>
                    <w:right w:val="none" w:sz="0" w:space="0" w:color="auto"/>
                  </w:divBdr>
                </w:div>
                <w:div w:id="214048230">
                  <w:marLeft w:val="2592"/>
                  <w:marRight w:val="0"/>
                  <w:marTop w:val="0"/>
                  <w:marBottom w:val="100"/>
                  <w:divBdr>
                    <w:top w:val="none" w:sz="0" w:space="0" w:color="auto"/>
                    <w:left w:val="none" w:sz="0" w:space="0" w:color="auto"/>
                    <w:bottom w:val="none" w:sz="0" w:space="0" w:color="auto"/>
                    <w:right w:val="none" w:sz="0" w:space="0" w:color="auto"/>
                  </w:divBdr>
                </w:div>
                <w:div w:id="355891325">
                  <w:marLeft w:val="2592"/>
                  <w:marRight w:val="0"/>
                  <w:marTop w:val="0"/>
                  <w:marBottom w:val="100"/>
                  <w:divBdr>
                    <w:top w:val="none" w:sz="0" w:space="0" w:color="auto"/>
                    <w:left w:val="none" w:sz="0" w:space="0" w:color="auto"/>
                    <w:bottom w:val="none" w:sz="0" w:space="0" w:color="auto"/>
                    <w:right w:val="none" w:sz="0" w:space="0" w:color="auto"/>
                  </w:divBdr>
                </w:div>
                <w:div w:id="130900729">
                  <w:marLeft w:val="2592"/>
                  <w:marRight w:val="0"/>
                  <w:marTop w:val="0"/>
                  <w:marBottom w:val="100"/>
                  <w:divBdr>
                    <w:top w:val="none" w:sz="0" w:space="0" w:color="auto"/>
                    <w:left w:val="none" w:sz="0" w:space="0" w:color="auto"/>
                    <w:bottom w:val="none" w:sz="0" w:space="0" w:color="auto"/>
                    <w:right w:val="none" w:sz="0" w:space="0" w:color="auto"/>
                  </w:divBdr>
                </w:div>
                <w:div w:id="16081342">
                  <w:marLeft w:val="2592"/>
                  <w:marRight w:val="0"/>
                  <w:marTop w:val="0"/>
                  <w:marBottom w:val="100"/>
                  <w:divBdr>
                    <w:top w:val="none" w:sz="0" w:space="0" w:color="auto"/>
                    <w:left w:val="none" w:sz="0" w:space="0" w:color="auto"/>
                    <w:bottom w:val="none" w:sz="0" w:space="0" w:color="auto"/>
                    <w:right w:val="none" w:sz="0" w:space="0" w:color="auto"/>
                  </w:divBdr>
                </w:div>
                <w:div w:id="1242174212">
                  <w:marLeft w:val="2592"/>
                  <w:marRight w:val="0"/>
                  <w:marTop w:val="0"/>
                  <w:marBottom w:val="100"/>
                  <w:divBdr>
                    <w:top w:val="none" w:sz="0" w:space="0" w:color="auto"/>
                    <w:left w:val="none" w:sz="0" w:space="0" w:color="auto"/>
                    <w:bottom w:val="none" w:sz="0" w:space="0" w:color="auto"/>
                    <w:right w:val="none" w:sz="0" w:space="0" w:color="auto"/>
                  </w:divBdr>
                </w:div>
                <w:div w:id="490682173">
                  <w:marLeft w:val="1440"/>
                  <w:marRight w:val="0"/>
                  <w:marTop w:val="0"/>
                  <w:marBottom w:val="100"/>
                  <w:divBdr>
                    <w:top w:val="none" w:sz="0" w:space="0" w:color="auto"/>
                    <w:left w:val="none" w:sz="0" w:space="0" w:color="auto"/>
                    <w:bottom w:val="none" w:sz="0" w:space="0" w:color="auto"/>
                    <w:right w:val="none" w:sz="0" w:space="0" w:color="auto"/>
                  </w:divBdr>
                </w:div>
                <w:div w:id="1154026663">
                  <w:marLeft w:val="1440"/>
                  <w:marRight w:val="0"/>
                  <w:marTop w:val="0"/>
                  <w:marBottom w:val="100"/>
                  <w:divBdr>
                    <w:top w:val="none" w:sz="0" w:space="0" w:color="auto"/>
                    <w:left w:val="none" w:sz="0" w:space="0" w:color="auto"/>
                    <w:bottom w:val="none" w:sz="0" w:space="0" w:color="auto"/>
                    <w:right w:val="none" w:sz="0" w:space="0" w:color="auto"/>
                  </w:divBdr>
                </w:div>
                <w:div w:id="1927422656">
                  <w:marLeft w:val="1440"/>
                  <w:marRight w:val="0"/>
                  <w:marTop w:val="0"/>
                  <w:marBottom w:val="100"/>
                  <w:divBdr>
                    <w:top w:val="none" w:sz="0" w:space="0" w:color="auto"/>
                    <w:left w:val="none" w:sz="0" w:space="0" w:color="auto"/>
                    <w:bottom w:val="none" w:sz="0" w:space="0" w:color="auto"/>
                    <w:right w:val="none" w:sz="0" w:space="0" w:color="auto"/>
                  </w:divBdr>
                </w:div>
                <w:div w:id="1091118485">
                  <w:marLeft w:val="1440"/>
                  <w:marRight w:val="0"/>
                  <w:marTop w:val="0"/>
                  <w:marBottom w:val="100"/>
                  <w:divBdr>
                    <w:top w:val="none" w:sz="0" w:space="0" w:color="auto"/>
                    <w:left w:val="none" w:sz="0" w:space="0" w:color="auto"/>
                    <w:bottom w:val="none" w:sz="0" w:space="0" w:color="auto"/>
                    <w:right w:val="none" w:sz="0" w:space="0" w:color="auto"/>
                  </w:divBdr>
                </w:div>
                <w:div w:id="1621765508">
                  <w:marLeft w:val="1440"/>
                  <w:marRight w:val="0"/>
                  <w:marTop w:val="0"/>
                  <w:marBottom w:val="100"/>
                  <w:divBdr>
                    <w:top w:val="none" w:sz="0" w:space="0" w:color="auto"/>
                    <w:left w:val="none" w:sz="0" w:space="0" w:color="auto"/>
                    <w:bottom w:val="none" w:sz="0" w:space="0" w:color="auto"/>
                    <w:right w:val="none" w:sz="0" w:space="0" w:color="auto"/>
                  </w:divBdr>
                </w:div>
                <w:div w:id="870341846">
                  <w:marLeft w:val="1440"/>
                  <w:marRight w:val="0"/>
                  <w:marTop w:val="0"/>
                  <w:marBottom w:val="100"/>
                  <w:divBdr>
                    <w:top w:val="none" w:sz="0" w:space="0" w:color="auto"/>
                    <w:left w:val="none" w:sz="0" w:space="0" w:color="auto"/>
                    <w:bottom w:val="none" w:sz="0" w:space="0" w:color="auto"/>
                    <w:right w:val="none" w:sz="0" w:space="0" w:color="auto"/>
                  </w:divBdr>
                </w:div>
                <w:div w:id="445581736">
                  <w:marLeft w:val="1440"/>
                  <w:marRight w:val="0"/>
                  <w:marTop w:val="0"/>
                  <w:marBottom w:val="100"/>
                  <w:divBdr>
                    <w:top w:val="none" w:sz="0" w:space="0" w:color="auto"/>
                    <w:left w:val="none" w:sz="0" w:space="0" w:color="auto"/>
                    <w:bottom w:val="none" w:sz="0" w:space="0" w:color="auto"/>
                    <w:right w:val="none" w:sz="0" w:space="0" w:color="auto"/>
                  </w:divBdr>
                </w:div>
                <w:div w:id="253976179">
                  <w:marLeft w:val="1440"/>
                  <w:marRight w:val="0"/>
                  <w:marTop w:val="0"/>
                  <w:marBottom w:val="100"/>
                  <w:divBdr>
                    <w:top w:val="none" w:sz="0" w:space="0" w:color="auto"/>
                    <w:left w:val="none" w:sz="0" w:space="0" w:color="auto"/>
                    <w:bottom w:val="none" w:sz="0" w:space="0" w:color="auto"/>
                    <w:right w:val="none" w:sz="0" w:space="0" w:color="auto"/>
                  </w:divBdr>
                </w:div>
                <w:div w:id="2057972251">
                  <w:marLeft w:val="1440"/>
                  <w:marRight w:val="0"/>
                  <w:marTop w:val="0"/>
                  <w:marBottom w:val="100"/>
                  <w:divBdr>
                    <w:top w:val="none" w:sz="0" w:space="0" w:color="auto"/>
                    <w:left w:val="none" w:sz="0" w:space="0" w:color="auto"/>
                    <w:bottom w:val="none" w:sz="0" w:space="0" w:color="auto"/>
                    <w:right w:val="none" w:sz="0" w:space="0" w:color="auto"/>
                  </w:divBdr>
                </w:div>
                <w:div w:id="1460955324">
                  <w:marLeft w:val="1440"/>
                  <w:marRight w:val="0"/>
                  <w:marTop w:val="0"/>
                  <w:marBottom w:val="100"/>
                  <w:divBdr>
                    <w:top w:val="none" w:sz="0" w:space="0" w:color="auto"/>
                    <w:left w:val="none" w:sz="0" w:space="0" w:color="auto"/>
                    <w:bottom w:val="none" w:sz="0" w:space="0" w:color="auto"/>
                    <w:right w:val="none" w:sz="0" w:space="0" w:color="auto"/>
                  </w:divBdr>
                </w:div>
                <w:div w:id="598679704">
                  <w:marLeft w:val="1440"/>
                  <w:marRight w:val="0"/>
                  <w:marTop w:val="0"/>
                  <w:marBottom w:val="100"/>
                  <w:divBdr>
                    <w:top w:val="none" w:sz="0" w:space="0" w:color="auto"/>
                    <w:left w:val="none" w:sz="0" w:space="0" w:color="auto"/>
                    <w:bottom w:val="none" w:sz="0" w:space="0" w:color="auto"/>
                    <w:right w:val="none" w:sz="0" w:space="0" w:color="auto"/>
                  </w:divBdr>
                </w:div>
                <w:div w:id="1791586772">
                  <w:marLeft w:val="1440"/>
                  <w:marRight w:val="0"/>
                  <w:marTop w:val="0"/>
                  <w:marBottom w:val="100"/>
                  <w:divBdr>
                    <w:top w:val="none" w:sz="0" w:space="0" w:color="auto"/>
                    <w:left w:val="none" w:sz="0" w:space="0" w:color="auto"/>
                    <w:bottom w:val="none" w:sz="0" w:space="0" w:color="auto"/>
                    <w:right w:val="none" w:sz="0" w:space="0" w:color="auto"/>
                  </w:divBdr>
                </w:div>
                <w:div w:id="247424644">
                  <w:marLeft w:val="1440"/>
                  <w:marRight w:val="0"/>
                  <w:marTop w:val="0"/>
                  <w:marBottom w:val="100"/>
                  <w:divBdr>
                    <w:top w:val="none" w:sz="0" w:space="0" w:color="auto"/>
                    <w:left w:val="none" w:sz="0" w:space="0" w:color="auto"/>
                    <w:bottom w:val="none" w:sz="0" w:space="0" w:color="auto"/>
                    <w:right w:val="none" w:sz="0" w:space="0" w:color="auto"/>
                  </w:divBdr>
                </w:div>
                <w:div w:id="126970667">
                  <w:marLeft w:val="2160"/>
                  <w:marRight w:val="0"/>
                  <w:marTop w:val="0"/>
                  <w:marBottom w:val="100"/>
                  <w:divBdr>
                    <w:top w:val="none" w:sz="0" w:space="0" w:color="auto"/>
                    <w:left w:val="none" w:sz="0" w:space="0" w:color="auto"/>
                    <w:bottom w:val="none" w:sz="0" w:space="0" w:color="auto"/>
                    <w:right w:val="none" w:sz="0" w:space="0" w:color="auto"/>
                  </w:divBdr>
                </w:div>
                <w:div w:id="2076119520">
                  <w:marLeft w:val="2160"/>
                  <w:marRight w:val="0"/>
                  <w:marTop w:val="0"/>
                  <w:marBottom w:val="100"/>
                  <w:divBdr>
                    <w:top w:val="none" w:sz="0" w:space="0" w:color="auto"/>
                    <w:left w:val="none" w:sz="0" w:space="0" w:color="auto"/>
                    <w:bottom w:val="none" w:sz="0" w:space="0" w:color="auto"/>
                    <w:right w:val="none" w:sz="0" w:space="0" w:color="auto"/>
                  </w:divBdr>
                </w:div>
                <w:div w:id="1305815763">
                  <w:marLeft w:val="1440"/>
                  <w:marRight w:val="0"/>
                  <w:marTop w:val="0"/>
                  <w:marBottom w:val="100"/>
                  <w:divBdr>
                    <w:top w:val="none" w:sz="0" w:space="0" w:color="auto"/>
                    <w:left w:val="none" w:sz="0" w:space="0" w:color="auto"/>
                    <w:bottom w:val="none" w:sz="0" w:space="0" w:color="auto"/>
                    <w:right w:val="none" w:sz="0" w:space="0" w:color="auto"/>
                  </w:divBdr>
                </w:div>
                <w:div w:id="1698654636">
                  <w:marLeft w:val="1440"/>
                  <w:marRight w:val="0"/>
                  <w:marTop w:val="0"/>
                  <w:marBottom w:val="100"/>
                  <w:divBdr>
                    <w:top w:val="none" w:sz="0" w:space="0" w:color="auto"/>
                    <w:left w:val="none" w:sz="0" w:space="0" w:color="auto"/>
                    <w:bottom w:val="none" w:sz="0" w:space="0" w:color="auto"/>
                    <w:right w:val="none" w:sz="0" w:space="0" w:color="auto"/>
                  </w:divBdr>
                </w:div>
                <w:div w:id="172231024">
                  <w:marLeft w:val="1440"/>
                  <w:marRight w:val="0"/>
                  <w:marTop w:val="0"/>
                  <w:marBottom w:val="100"/>
                  <w:divBdr>
                    <w:top w:val="none" w:sz="0" w:space="0" w:color="auto"/>
                    <w:left w:val="none" w:sz="0" w:space="0" w:color="auto"/>
                    <w:bottom w:val="none" w:sz="0" w:space="0" w:color="auto"/>
                    <w:right w:val="none" w:sz="0" w:space="0" w:color="auto"/>
                  </w:divBdr>
                </w:div>
                <w:div w:id="388649124">
                  <w:marLeft w:val="1440"/>
                  <w:marRight w:val="0"/>
                  <w:marTop w:val="0"/>
                  <w:marBottom w:val="100"/>
                  <w:divBdr>
                    <w:top w:val="none" w:sz="0" w:space="0" w:color="auto"/>
                    <w:left w:val="none" w:sz="0" w:space="0" w:color="auto"/>
                    <w:bottom w:val="none" w:sz="0" w:space="0" w:color="auto"/>
                    <w:right w:val="none" w:sz="0" w:space="0" w:color="auto"/>
                  </w:divBdr>
                </w:div>
                <w:div w:id="1324819361">
                  <w:marLeft w:val="1440"/>
                  <w:marRight w:val="0"/>
                  <w:marTop w:val="0"/>
                  <w:marBottom w:val="100"/>
                  <w:divBdr>
                    <w:top w:val="none" w:sz="0" w:space="0" w:color="auto"/>
                    <w:left w:val="none" w:sz="0" w:space="0" w:color="auto"/>
                    <w:bottom w:val="none" w:sz="0" w:space="0" w:color="auto"/>
                    <w:right w:val="none" w:sz="0" w:space="0" w:color="auto"/>
                  </w:divBdr>
                </w:div>
                <w:div w:id="1530800948">
                  <w:marLeft w:val="1440"/>
                  <w:marRight w:val="0"/>
                  <w:marTop w:val="0"/>
                  <w:marBottom w:val="100"/>
                  <w:divBdr>
                    <w:top w:val="none" w:sz="0" w:space="0" w:color="auto"/>
                    <w:left w:val="none" w:sz="0" w:space="0" w:color="auto"/>
                    <w:bottom w:val="none" w:sz="0" w:space="0" w:color="auto"/>
                    <w:right w:val="none" w:sz="0" w:space="0" w:color="auto"/>
                  </w:divBdr>
                </w:div>
                <w:div w:id="2063748123">
                  <w:marLeft w:val="1440"/>
                  <w:marRight w:val="0"/>
                  <w:marTop w:val="0"/>
                  <w:marBottom w:val="100"/>
                  <w:divBdr>
                    <w:top w:val="none" w:sz="0" w:space="0" w:color="auto"/>
                    <w:left w:val="none" w:sz="0" w:space="0" w:color="auto"/>
                    <w:bottom w:val="none" w:sz="0" w:space="0" w:color="auto"/>
                    <w:right w:val="none" w:sz="0" w:space="0" w:color="auto"/>
                  </w:divBdr>
                </w:div>
                <w:div w:id="1070032624">
                  <w:marLeft w:val="1440"/>
                  <w:marRight w:val="0"/>
                  <w:marTop w:val="0"/>
                  <w:marBottom w:val="101"/>
                  <w:divBdr>
                    <w:top w:val="none" w:sz="0" w:space="0" w:color="auto"/>
                    <w:left w:val="none" w:sz="0" w:space="0" w:color="auto"/>
                    <w:bottom w:val="none" w:sz="0" w:space="0" w:color="auto"/>
                    <w:right w:val="none" w:sz="0" w:space="0" w:color="auto"/>
                  </w:divBdr>
                </w:div>
                <w:div w:id="802573911">
                  <w:marLeft w:val="1440"/>
                  <w:marRight w:val="0"/>
                  <w:marTop w:val="0"/>
                  <w:marBottom w:val="101"/>
                  <w:divBdr>
                    <w:top w:val="none" w:sz="0" w:space="0" w:color="auto"/>
                    <w:left w:val="none" w:sz="0" w:space="0" w:color="auto"/>
                    <w:bottom w:val="none" w:sz="0" w:space="0" w:color="auto"/>
                    <w:right w:val="none" w:sz="0" w:space="0" w:color="auto"/>
                  </w:divBdr>
                </w:div>
                <w:div w:id="1934899762">
                  <w:marLeft w:val="1440"/>
                  <w:marRight w:val="0"/>
                  <w:marTop w:val="0"/>
                  <w:marBottom w:val="101"/>
                  <w:divBdr>
                    <w:top w:val="none" w:sz="0" w:space="0" w:color="auto"/>
                    <w:left w:val="none" w:sz="0" w:space="0" w:color="auto"/>
                    <w:bottom w:val="none" w:sz="0" w:space="0" w:color="auto"/>
                    <w:right w:val="none" w:sz="0" w:space="0" w:color="auto"/>
                  </w:divBdr>
                </w:div>
                <w:div w:id="806974267">
                  <w:marLeft w:val="1440"/>
                  <w:marRight w:val="0"/>
                  <w:marTop w:val="0"/>
                  <w:marBottom w:val="101"/>
                  <w:divBdr>
                    <w:top w:val="none" w:sz="0" w:space="0" w:color="auto"/>
                    <w:left w:val="none" w:sz="0" w:space="0" w:color="auto"/>
                    <w:bottom w:val="none" w:sz="0" w:space="0" w:color="auto"/>
                    <w:right w:val="none" w:sz="0" w:space="0" w:color="auto"/>
                  </w:divBdr>
                </w:div>
                <w:div w:id="1137986855">
                  <w:marLeft w:val="0"/>
                  <w:marRight w:val="0"/>
                  <w:marTop w:val="0"/>
                  <w:marBottom w:val="101"/>
                  <w:divBdr>
                    <w:top w:val="none" w:sz="0" w:space="0" w:color="auto"/>
                    <w:left w:val="none" w:sz="0" w:space="0" w:color="auto"/>
                    <w:bottom w:val="none" w:sz="0" w:space="0" w:color="auto"/>
                    <w:right w:val="none" w:sz="0" w:space="0" w:color="auto"/>
                  </w:divBdr>
                </w:div>
                <w:div w:id="1773011271">
                  <w:marLeft w:val="0"/>
                  <w:marRight w:val="0"/>
                  <w:marTop w:val="0"/>
                  <w:marBottom w:val="101"/>
                  <w:divBdr>
                    <w:top w:val="none" w:sz="0" w:space="0" w:color="auto"/>
                    <w:left w:val="none" w:sz="0" w:space="0" w:color="auto"/>
                    <w:bottom w:val="none" w:sz="0" w:space="0" w:color="auto"/>
                    <w:right w:val="none" w:sz="0" w:space="0" w:color="auto"/>
                  </w:divBdr>
                </w:div>
                <w:div w:id="26029869">
                  <w:marLeft w:val="0"/>
                  <w:marRight w:val="0"/>
                  <w:marTop w:val="0"/>
                  <w:marBottom w:val="101"/>
                  <w:divBdr>
                    <w:top w:val="none" w:sz="0" w:space="0" w:color="auto"/>
                    <w:left w:val="none" w:sz="0" w:space="0" w:color="auto"/>
                    <w:bottom w:val="none" w:sz="0" w:space="0" w:color="auto"/>
                    <w:right w:val="none" w:sz="0" w:space="0" w:color="auto"/>
                  </w:divBdr>
                </w:div>
                <w:div w:id="1771579637">
                  <w:marLeft w:val="0"/>
                  <w:marRight w:val="0"/>
                  <w:marTop w:val="0"/>
                  <w:marBottom w:val="101"/>
                  <w:divBdr>
                    <w:top w:val="none" w:sz="0" w:space="0" w:color="auto"/>
                    <w:left w:val="none" w:sz="0" w:space="0" w:color="auto"/>
                    <w:bottom w:val="none" w:sz="0" w:space="0" w:color="auto"/>
                    <w:right w:val="none" w:sz="0" w:space="0" w:color="auto"/>
                  </w:divBdr>
                </w:div>
                <w:div w:id="1484741112">
                  <w:marLeft w:val="0"/>
                  <w:marRight w:val="0"/>
                  <w:marTop w:val="0"/>
                  <w:marBottom w:val="101"/>
                  <w:divBdr>
                    <w:top w:val="none" w:sz="0" w:space="0" w:color="auto"/>
                    <w:left w:val="none" w:sz="0" w:space="0" w:color="auto"/>
                    <w:bottom w:val="none" w:sz="0" w:space="0" w:color="auto"/>
                    <w:right w:val="none" w:sz="0" w:space="0" w:color="auto"/>
                  </w:divBdr>
                </w:div>
                <w:div w:id="332756251">
                  <w:marLeft w:val="0"/>
                  <w:marRight w:val="0"/>
                  <w:marTop w:val="0"/>
                  <w:marBottom w:val="101"/>
                  <w:divBdr>
                    <w:top w:val="none" w:sz="0" w:space="0" w:color="auto"/>
                    <w:left w:val="none" w:sz="0" w:space="0" w:color="auto"/>
                    <w:bottom w:val="none" w:sz="0" w:space="0" w:color="auto"/>
                    <w:right w:val="none" w:sz="0" w:space="0" w:color="auto"/>
                  </w:divBdr>
                </w:div>
                <w:div w:id="1055397144">
                  <w:marLeft w:val="0"/>
                  <w:marRight w:val="0"/>
                  <w:marTop w:val="0"/>
                  <w:marBottom w:val="101"/>
                  <w:divBdr>
                    <w:top w:val="none" w:sz="0" w:space="0" w:color="auto"/>
                    <w:left w:val="none" w:sz="0" w:space="0" w:color="auto"/>
                    <w:bottom w:val="none" w:sz="0" w:space="0" w:color="auto"/>
                    <w:right w:val="none" w:sz="0" w:space="0" w:color="auto"/>
                  </w:divBdr>
                </w:div>
                <w:div w:id="1400709369">
                  <w:marLeft w:val="0"/>
                  <w:marRight w:val="0"/>
                  <w:marTop w:val="0"/>
                  <w:marBottom w:val="101"/>
                  <w:divBdr>
                    <w:top w:val="none" w:sz="0" w:space="0" w:color="auto"/>
                    <w:left w:val="none" w:sz="0" w:space="0" w:color="auto"/>
                    <w:bottom w:val="none" w:sz="0" w:space="0" w:color="auto"/>
                    <w:right w:val="none" w:sz="0" w:space="0" w:color="auto"/>
                  </w:divBdr>
                </w:div>
                <w:div w:id="42875164">
                  <w:marLeft w:val="0"/>
                  <w:marRight w:val="0"/>
                  <w:marTop w:val="0"/>
                  <w:marBottom w:val="101"/>
                  <w:divBdr>
                    <w:top w:val="none" w:sz="0" w:space="0" w:color="auto"/>
                    <w:left w:val="none" w:sz="0" w:space="0" w:color="auto"/>
                    <w:bottom w:val="none" w:sz="0" w:space="0" w:color="auto"/>
                    <w:right w:val="none" w:sz="0" w:space="0" w:color="auto"/>
                  </w:divBdr>
                </w:div>
                <w:div w:id="1984003699">
                  <w:marLeft w:val="0"/>
                  <w:marRight w:val="0"/>
                  <w:marTop w:val="0"/>
                  <w:marBottom w:val="101"/>
                  <w:divBdr>
                    <w:top w:val="none" w:sz="0" w:space="0" w:color="auto"/>
                    <w:left w:val="none" w:sz="0" w:space="0" w:color="auto"/>
                    <w:bottom w:val="none" w:sz="0" w:space="0" w:color="auto"/>
                    <w:right w:val="none" w:sz="0" w:space="0" w:color="auto"/>
                  </w:divBdr>
                </w:div>
                <w:div w:id="514346079">
                  <w:marLeft w:val="0"/>
                  <w:marRight w:val="0"/>
                  <w:marTop w:val="0"/>
                  <w:marBottom w:val="101"/>
                  <w:divBdr>
                    <w:top w:val="none" w:sz="0" w:space="0" w:color="auto"/>
                    <w:left w:val="none" w:sz="0" w:space="0" w:color="auto"/>
                    <w:bottom w:val="none" w:sz="0" w:space="0" w:color="auto"/>
                    <w:right w:val="none" w:sz="0" w:space="0" w:color="auto"/>
                  </w:divBdr>
                </w:div>
                <w:div w:id="103161273">
                  <w:marLeft w:val="0"/>
                  <w:marRight w:val="0"/>
                  <w:marTop w:val="0"/>
                  <w:marBottom w:val="101"/>
                  <w:divBdr>
                    <w:top w:val="none" w:sz="0" w:space="0" w:color="auto"/>
                    <w:left w:val="none" w:sz="0" w:space="0" w:color="auto"/>
                    <w:bottom w:val="none" w:sz="0" w:space="0" w:color="auto"/>
                    <w:right w:val="none" w:sz="0" w:space="0" w:color="auto"/>
                  </w:divBdr>
                </w:div>
                <w:div w:id="1489588711">
                  <w:marLeft w:val="0"/>
                  <w:marRight w:val="0"/>
                  <w:marTop w:val="0"/>
                  <w:marBottom w:val="101"/>
                  <w:divBdr>
                    <w:top w:val="none" w:sz="0" w:space="0" w:color="auto"/>
                    <w:left w:val="none" w:sz="0" w:space="0" w:color="auto"/>
                    <w:bottom w:val="none" w:sz="0" w:space="0" w:color="auto"/>
                    <w:right w:val="none" w:sz="0" w:space="0" w:color="auto"/>
                  </w:divBdr>
                </w:div>
                <w:div w:id="843130399">
                  <w:marLeft w:val="0"/>
                  <w:marRight w:val="0"/>
                  <w:marTop w:val="0"/>
                  <w:marBottom w:val="101"/>
                  <w:divBdr>
                    <w:top w:val="none" w:sz="0" w:space="0" w:color="auto"/>
                    <w:left w:val="none" w:sz="0" w:space="0" w:color="auto"/>
                    <w:bottom w:val="none" w:sz="0" w:space="0" w:color="auto"/>
                    <w:right w:val="none" w:sz="0" w:space="0" w:color="auto"/>
                  </w:divBdr>
                </w:div>
                <w:div w:id="1993292319">
                  <w:marLeft w:val="0"/>
                  <w:marRight w:val="0"/>
                  <w:marTop w:val="0"/>
                  <w:marBottom w:val="101"/>
                  <w:divBdr>
                    <w:top w:val="none" w:sz="0" w:space="0" w:color="auto"/>
                    <w:left w:val="none" w:sz="0" w:space="0" w:color="auto"/>
                    <w:bottom w:val="none" w:sz="0" w:space="0" w:color="auto"/>
                    <w:right w:val="none" w:sz="0" w:space="0" w:color="auto"/>
                  </w:divBdr>
                </w:div>
                <w:div w:id="1128671095">
                  <w:marLeft w:val="0"/>
                  <w:marRight w:val="0"/>
                  <w:marTop w:val="0"/>
                  <w:marBottom w:val="101"/>
                  <w:divBdr>
                    <w:top w:val="none" w:sz="0" w:space="0" w:color="auto"/>
                    <w:left w:val="none" w:sz="0" w:space="0" w:color="auto"/>
                    <w:bottom w:val="none" w:sz="0" w:space="0" w:color="auto"/>
                    <w:right w:val="none" w:sz="0" w:space="0" w:color="auto"/>
                  </w:divBdr>
                </w:div>
                <w:div w:id="570969379">
                  <w:marLeft w:val="0"/>
                  <w:marRight w:val="0"/>
                  <w:marTop w:val="0"/>
                  <w:marBottom w:val="101"/>
                  <w:divBdr>
                    <w:top w:val="none" w:sz="0" w:space="0" w:color="auto"/>
                    <w:left w:val="none" w:sz="0" w:space="0" w:color="auto"/>
                    <w:bottom w:val="none" w:sz="0" w:space="0" w:color="auto"/>
                    <w:right w:val="none" w:sz="0" w:space="0" w:color="auto"/>
                  </w:divBdr>
                </w:div>
                <w:div w:id="1498040071">
                  <w:marLeft w:val="0"/>
                  <w:marRight w:val="0"/>
                  <w:marTop w:val="0"/>
                  <w:marBottom w:val="101"/>
                  <w:divBdr>
                    <w:top w:val="none" w:sz="0" w:space="0" w:color="auto"/>
                    <w:left w:val="none" w:sz="0" w:space="0" w:color="auto"/>
                    <w:bottom w:val="none" w:sz="0" w:space="0" w:color="auto"/>
                    <w:right w:val="none" w:sz="0" w:space="0" w:color="auto"/>
                  </w:divBdr>
                </w:div>
                <w:div w:id="1804805335">
                  <w:marLeft w:val="0"/>
                  <w:marRight w:val="0"/>
                  <w:marTop w:val="0"/>
                  <w:marBottom w:val="101"/>
                  <w:divBdr>
                    <w:top w:val="none" w:sz="0" w:space="0" w:color="auto"/>
                    <w:left w:val="none" w:sz="0" w:space="0" w:color="auto"/>
                    <w:bottom w:val="none" w:sz="0" w:space="0" w:color="auto"/>
                    <w:right w:val="none" w:sz="0" w:space="0" w:color="auto"/>
                  </w:divBdr>
                </w:div>
                <w:div w:id="1656252994">
                  <w:marLeft w:val="0"/>
                  <w:marRight w:val="0"/>
                  <w:marTop w:val="0"/>
                  <w:marBottom w:val="101"/>
                  <w:divBdr>
                    <w:top w:val="none" w:sz="0" w:space="0" w:color="auto"/>
                    <w:left w:val="none" w:sz="0" w:space="0" w:color="auto"/>
                    <w:bottom w:val="none" w:sz="0" w:space="0" w:color="auto"/>
                    <w:right w:val="none" w:sz="0" w:space="0" w:color="auto"/>
                  </w:divBdr>
                </w:div>
                <w:div w:id="530454073">
                  <w:marLeft w:val="0"/>
                  <w:marRight w:val="0"/>
                  <w:marTop w:val="0"/>
                  <w:marBottom w:val="101"/>
                  <w:divBdr>
                    <w:top w:val="none" w:sz="0" w:space="0" w:color="auto"/>
                    <w:left w:val="none" w:sz="0" w:space="0" w:color="auto"/>
                    <w:bottom w:val="none" w:sz="0" w:space="0" w:color="auto"/>
                    <w:right w:val="none" w:sz="0" w:space="0" w:color="auto"/>
                  </w:divBdr>
                </w:div>
                <w:div w:id="348215622">
                  <w:marLeft w:val="0"/>
                  <w:marRight w:val="0"/>
                  <w:marTop w:val="0"/>
                  <w:marBottom w:val="101"/>
                  <w:divBdr>
                    <w:top w:val="none" w:sz="0" w:space="0" w:color="auto"/>
                    <w:left w:val="none" w:sz="0" w:space="0" w:color="auto"/>
                    <w:bottom w:val="none" w:sz="0" w:space="0" w:color="auto"/>
                    <w:right w:val="none" w:sz="0" w:space="0" w:color="auto"/>
                  </w:divBdr>
                </w:div>
                <w:div w:id="1853492991">
                  <w:marLeft w:val="0"/>
                  <w:marRight w:val="0"/>
                  <w:marTop w:val="0"/>
                  <w:marBottom w:val="101"/>
                  <w:divBdr>
                    <w:top w:val="none" w:sz="0" w:space="0" w:color="auto"/>
                    <w:left w:val="none" w:sz="0" w:space="0" w:color="auto"/>
                    <w:bottom w:val="none" w:sz="0" w:space="0" w:color="auto"/>
                    <w:right w:val="none" w:sz="0" w:space="0" w:color="auto"/>
                  </w:divBdr>
                </w:div>
                <w:div w:id="1302884078">
                  <w:marLeft w:val="0"/>
                  <w:marRight w:val="0"/>
                  <w:marTop w:val="0"/>
                  <w:marBottom w:val="101"/>
                  <w:divBdr>
                    <w:top w:val="none" w:sz="0" w:space="0" w:color="auto"/>
                    <w:left w:val="none" w:sz="0" w:space="0" w:color="auto"/>
                    <w:bottom w:val="none" w:sz="0" w:space="0" w:color="auto"/>
                    <w:right w:val="none" w:sz="0" w:space="0" w:color="auto"/>
                  </w:divBdr>
                </w:div>
                <w:div w:id="1373535152">
                  <w:marLeft w:val="0"/>
                  <w:marRight w:val="0"/>
                  <w:marTop w:val="0"/>
                  <w:marBottom w:val="101"/>
                  <w:divBdr>
                    <w:top w:val="none" w:sz="0" w:space="0" w:color="auto"/>
                    <w:left w:val="none" w:sz="0" w:space="0" w:color="auto"/>
                    <w:bottom w:val="none" w:sz="0" w:space="0" w:color="auto"/>
                    <w:right w:val="none" w:sz="0" w:space="0" w:color="auto"/>
                  </w:divBdr>
                </w:div>
                <w:div w:id="947589189">
                  <w:marLeft w:val="0"/>
                  <w:marRight w:val="0"/>
                  <w:marTop w:val="0"/>
                  <w:marBottom w:val="101"/>
                  <w:divBdr>
                    <w:top w:val="none" w:sz="0" w:space="0" w:color="auto"/>
                    <w:left w:val="none" w:sz="0" w:space="0" w:color="auto"/>
                    <w:bottom w:val="none" w:sz="0" w:space="0" w:color="auto"/>
                    <w:right w:val="none" w:sz="0" w:space="0" w:color="auto"/>
                  </w:divBdr>
                </w:div>
                <w:div w:id="1078092313">
                  <w:marLeft w:val="0"/>
                  <w:marRight w:val="0"/>
                  <w:marTop w:val="0"/>
                  <w:marBottom w:val="101"/>
                  <w:divBdr>
                    <w:top w:val="none" w:sz="0" w:space="0" w:color="auto"/>
                    <w:left w:val="none" w:sz="0" w:space="0" w:color="auto"/>
                    <w:bottom w:val="none" w:sz="0" w:space="0" w:color="auto"/>
                    <w:right w:val="none" w:sz="0" w:space="0" w:color="auto"/>
                  </w:divBdr>
                </w:div>
                <w:div w:id="2098751610">
                  <w:marLeft w:val="0"/>
                  <w:marRight w:val="0"/>
                  <w:marTop w:val="0"/>
                  <w:marBottom w:val="101"/>
                  <w:divBdr>
                    <w:top w:val="none" w:sz="0" w:space="0" w:color="auto"/>
                    <w:left w:val="none" w:sz="0" w:space="0" w:color="auto"/>
                    <w:bottom w:val="none" w:sz="0" w:space="0" w:color="auto"/>
                    <w:right w:val="none" w:sz="0" w:space="0" w:color="auto"/>
                  </w:divBdr>
                </w:div>
                <w:div w:id="823132502">
                  <w:marLeft w:val="0"/>
                  <w:marRight w:val="0"/>
                  <w:marTop w:val="0"/>
                  <w:marBottom w:val="101"/>
                  <w:divBdr>
                    <w:top w:val="none" w:sz="0" w:space="0" w:color="auto"/>
                    <w:left w:val="none" w:sz="0" w:space="0" w:color="auto"/>
                    <w:bottom w:val="none" w:sz="0" w:space="0" w:color="auto"/>
                    <w:right w:val="none" w:sz="0" w:space="0" w:color="auto"/>
                  </w:divBdr>
                </w:div>
                <w:div w:id="1223977875">
                  <w:marLeft w:val="0"/>
                  <w:marRight w:val="0"/>
                  <w:marTop w:val="0"/>
                  <w:marBottom w:val="101"/>
                  <w:divBdr>
                    <w:top w:val="none" w:sz="0" w:space="0" w:color="auto"/>
                    <w:left w:val="none" w:sz="0" w:space="0" w:color="auto"/>
                    <w:bottom w:val="none" w:sz="0" w:space="0" w:color="auto"/>
                    <w:right w:val="none" w:sz="0" w:space="0" w:color="auto"/>
                  </w:divBdr>
                </w:div>
                <w:div w:id="562567736">
                  <w:marLeft w:val="0"/>
                  <w:marRight w:val="0"/>
                  <w:marTop w:val="0"/>
                  <w:marBottom w:val="101"/>
                  <w:divBdr>
                    <w:top w:val="none" w:sz="0" w:space="0" w:color="auto"/>
                    <w:left w:val="none" w:sz="0" w:space="0" w:color="auto"/>
                    <w:bottom w:val="none" w:sz="0" w:space="0" w:color="auto"/>
                    <w:right w:val="none" w:sz="0" w:space="0" w:color="auto"/>
                  </w:divBdr>
                </w:div>
                <w:div w:id="1670979261">
                  <w:marLeft w:val="0"/>
                  <w:marRight w:val="0"/>
                  <w:marTop w:val="0"/>
                  <w:marBottom w:val="101"/>
                  <w:divBdr>
                    <w:top w:val="none" w:sz="0" w:space="0" w:color="auto"/>
                    <w:left w:val="none" w:sz="0" w:space="0" w:color="auto"/>
                    <w:bottom w:val="none" w:sz="0" w:space="0" w:color="auto"/>
                    <w:right w:val="none" w:sz="0" w:space="0" w:color="auto"/>
                  </w:divBdr>
                </w:div>
                <w:div w:id="1117329163">
                  <w:marLeft w:val="0"/>
                  <w:marRight w:val="0"/>
                  <w:marTop w:val="0"/>
                  <w:marBottom w:val="101"/>
                  <w:divBdr>
                    <w:top w:val="none" w:sz="0" w:space="0" w:color="auto"/>
                    <w:left w:val="none" w:sz="0" w:space="0" w:color="auto"/>
                    <w:bottom w:val="none" w:sz="0" w:space="0" w:color="auto"/>
                    <w:right w:val="none" w:sz="0" w:space="0" w:color="auto"/>
                  </w:divBdr>
                </w:div>
                <w:div w:id="570314609">
                  <w:marLeft w:val="0"/>
                  <w:marRight w:val="0"/>
                  <w:marTop w:val="0"/>
                  <w:marBottom w:val="101"/>
                  <w:divBdr>
                    <w:top w:val="none" w:sz="0" w:space="0" w:color="auto"/>
                    <w:left w:val="none" w:sz="0" w:space="0" w:color="auto"/>
                    <w:bottom w:val="none" w:sz="0" w:space="0" w:color="auto"/>
                    <w:right w:val="none" w:sz="0" w:space="0" w:color="auto"/>
                  </w:divBdr>
                </w:div>
                <w:div w:id="1355231624">
                  <w:marLeft w:val="0"/>
                  <w:marRight w:val="0"/>
                  <w:marTop w:val="0"/>
                  <w:marBottom w:val="101"/>
                  <w:divBdr>
                    <w:top w:val="none" w:sz="0" w:space="0" w:color="auto"/>
                    <w:left w:val="none" w:sz="0" w:space="0" w:color="auto"/>
                    <w:bottom w:val="none" w:sz="0" w:space="0" w:color="auto"/>
                    <w:right w:val="none" w:sz="0" w:space="0" w:color="auto"/>
                  </w:divBdr>
                </w:div>
                <w:div w:id="1104616597">
                  <w:marLeft w:val="0"/>
                  <w:marRight w:val="0"/>
                  <w:marTop w:val="0"/>
                  <w:marBottom w:val="101"/>
                  <w:divBdr>
                    <w:top w:val="none" w:sz="0" w:space="0" w:color="auto"/>
                    <w:left w:val="none" w:sz="0" w:space="0" w:color="auto"/>
                    <w:bottom w:val="none" w:sz="0" w:space="0" w:color="auto"/>
                    <w:right w:val="none" w:sz="0" w:space="0" w:color="auto"/>
                  </w:divBdr>
                </w:div>
                <w:div w:id="89199458">
                  <w:marLeft w:val="0"/>
                  <w:marRight w:val="0"/>
                  <w:marTop w:val="0"/>
                  <w:marBottom w:val="101"/>
                  <w:divBdr>
                    <w:top w:val="none" w:sz="0" w:space="0" w:color="auto"/>
                    <w:left w:val="none" w:sz="0" w:space="0" w:color="auto"/>
                    <w:bottom w:val="none" w:sz="0" w:space="0" w:color="auto"/>
                    <w:right w:val="none" w:sz="0" w:space="0" w:color="auto"/>
                  </w:divBdr>
                </w:div>
                <w:div w:id="645015934">
                  <w:marLeft w:val="1440"/>
                  <w:marRight w:val="0"/>
                  <w:marTop w:val="0"/>
                  <w:marBottom w:val="101"/>
                  <w:divBdr>
                    <w:top w:val="none" w:sz="0" w:space="0" w:color="auto"/>
                    <w:left w:val="none" w:sz="0" w:space="0" w:color="auto"/>
                    <w:bottom w:val="none" w:sz="0" w:space="0" w:color="auto"/>
                    <w:right w:val="none" w:sz="0" w:space="0" w:color="auto"/>
                  </w:divBdr>
                </w:div>
                <w:div w:id="1758670873">
                  <w:marLeft w:val="1440"/>
                  <w:marRight w:val="0"/>
                  <w:marTop w:val="0"/>
                  <w:marBottom w:val="101"/>
                  <w:divBdr>
                    <w:top w:val="none" w:sz="0" w:space="0" w:color="auto"/>
                    <w:left w:val="none" w:sz="0" w:space="0" w:color="auto"/>
                    <w:bottom w:val="none" w:sz="0" w:space="0" w:color="auto"/>
                    <w:right w:val="none" w:sz="0" w:space="0" w:color="auto"/>
                  </w:divBdr>
                </w:div>
                <w:div w:id="1190290524">
                  <w:marLeft w:val="1440"/>
                  <w:marRight w:val="0"/>
                  <w:marTop w:val="0"/>
                  <w:marBottom w:val="101"/>
                  <w:divBdr>
                    <w:top w:val="none" w:sz="0" w:space="0" w:color="auto"/>
                    <w:left w:val="none" w:sz="0" w:space="0" w:color="auto"/>
                    <w:bottom w:val="none" w:sz="0" w:space="0" w:color="auto"/>
                    <w:right w:val="none" w:sz="0" w:space="0" w:color="auto"/>
                  </w:divBdr>
                </w:div>
                <w:div w:id="1010178523">
                  <w:marLeft w:val="1440"/>
                  <w:marRight w:val="0"/>
                  <w:marTop w:val="0"/>
                  <w:marBottom w:val="101"/>
                  <w:divBdr>
                    <w:top w:val="none" w:sz="0" w:space="0" w:color="auto"/>
                    <w:left w:val="none" w:sz="0" w:space="0" w:color="auto"/>
                    <w:bottom w:val="none" w:sz="0" w:space="0" w:color="auto"/>
                    <w:right w:val="none" w:sz="0" w:space="0" w:color="auto"/>
                  </w:divBdr>
                </w:div>
                <w:div w:id="1844396319">
                  <w:marLeft w:val="1440"/>
                  <w:marRight w:val="0"/>
                  <w:marTop w:val="0"/>
                  <w:marBottom w:val="101"/>
                  <w:divBdr>
                    <w:top w:val="none" w:sz="0" w:space="0" w:color="auto"/>
                    <w:left w:val="none" w:sz="0" w:space="0" w:color="auto"/>
                    <w:bottom w:val="none" w:sz="0" w:space="0" w:color="auto"/>
                    <w:right w:val="none" w:sz="0" w:space="0" w:color="auto"/>
                  </w:divBdr>
                </w:div>
                <w:div w:id="1800806080">
                  <w:marLeft w:val="2160"/>
                  <w:marRight w:val="0"/>
                  <w:marTop w:val="0"/>
                  <w:marBottom w:val="101"/>
                  <w:divBdr>
                    <w:top w:val="none" w:sz="0" w:space="0" w:color="auto"/>
                    <w:left w:val="none" w:sz="0" w:space="0" w:color="auto"/>
                    <w:bottom w:val="none" w:sz="0" w:space="0" w:color="auto"/>
                    <w:right w:val="none" w:sz="0" w:space="0" w:color="auto"/>
                  </w:divBdr>
                </w:div>
                <w:div w:id="927034853">
                  <w:marLeft w:val="1440"/>
                  <w:marRight w:val="0"/>
                  <w:marTop w:val="0"/>
                  <w:marBottom w:val="101"/>
                  <w:divBdr>
                    <w:top w:val="none" w:sz="0" w:space="0" w:color="auto"/>
                    <w:left w:val="none" w:sz="0" w:space="0" w:color="auto"/>
                    <w:bottom w:val="none" w:sz="0" w:space="0" w:color="auto"/>
                    <w:right w:val="none" w:sz="0" w:space="0" w:color="auto"/>
                  </w:divBdr>
                </w:div>
                <w:div w:id="19819174">
                  <w:marLeft w:val="1440"/>
                  <w:marRight w:val="0"/>
                  <w:marTop w:val="0"/>
                  <w:marBottom w:val="101"/>
                  <w:divBdr>
                    <w:top w:val="none" w:sz="0" w:space="0" w:color="auto"/>
                    <w:left w:val="none" w:sz="0" w:space="0" w:color="auto"/>
                    <w:bottom w:val="none" w:sz="0" w:space="0" w:color="auto"/>
                    <w:right w:val="none" w:sz="0" w:space="0" w:color="auto"/>
                  </w:divBdr>
                </w:div>
                <w:div w:id="453404623">
                  <w:marLeft w:val="1440"/>
                  <w:marRight w:val="0"/>
                  <w:marTop w:val="0"/>
                  <w:marBottom w:val="80"/>
                  <w:divBdr>
                    <w:top w:val="none" w:sz="0" w:space="0" w:color="auto"/>
                    <w:left w:val="none" w:sz="0" w:space="0" w:color="auto"/>
                    <w:bottom w:val="none" w:sz="0" w:space="0" w:color="auto"/>
                    <w:right w:val="none" w:sz="0" w:space="0" w:color="auto"/>
                  </w:divBdr>
                </w:div>
                <w:div w:id="534580660">
                  <w:marLeft w:val="1440"/>
                  <w:marRight w:val="0"/>
                  <w:marTop w:val="0"/>
                  <w:marBottom w:val="80"/>
                  <w:divBdr>
                    <w:top w:val="none" w:sz="0" w:space="0" w:color="auto"/>
                    <w:left w:val="none" w:sz="0" w:space="0" w:color="auto"/>
                    <w:bottom w:val="none" w:sz="0" w:space="0" w:color="auto"/>
                    <w:right w:val="none" w:sz="0" w:space="0" w:color="auto"/>
                  </w:divBdr>
                </w:div>
                <w:div w:id="1141072937">
                  <w:marLeft w:val="1440"/>
                  <w:marRight w:val="0"/>
                  <w:marTop w:val="0"/>
                  <w:marBottom w:val="80"/>
                  <w:divBdr>
                    <w:top w:val="none" w:sz="0" w:space="0" w:color="auto"/>
                    <w:left w:val="none" w:sz="0" w:space="0" w:color="auto"/>
                    <w:bottom w:val="none" w:sz="0" w:space="0" w:color="auto"/>
                    <w:right w:val="none" w:sz="0" w:space="0" w:color="auto"/>
                  </w:divBdr>
                </w:div>
                <w:div w:id="582374233">
                  <w:marLeft w:val="1440"/>
                  <w:marRight w:val="0"/>
                  <w:marTop w:val="0"/>
                  <w:marBottom w:val="80"/>
                  <w:divBdr>
                    <w:top w:val="none" w:sz="0" w:space="0" w:color="auto"/>
                    <w:left w:val="none" w:sz="0" w:space="0" w:color="auto"/>
                    <w:bottom w:val="none" w:sz="0" w:space="0" w:color="auto"/>
                    <w:right w:val="none" w:sz="0" w:space="0" w:color="auto"/>
                  </w:divBdr>
                </w:div>
                <w:div w:id="256401734">
                  <w:marLeft w:val="1440"/>
                  <w:marRight w:val="0"/>
                  <w:marTop w:val="0"/>
                  <w:marBottom w:val="80"/>
                  <w:divBdr>
                    <w:top w:val="none" w:sz="0" w:space="0" w:color="auto"/>
                    <w:left w:val="none" w:sz="0" w:space="0" w:color="auto"/>
                    <w:bottom w:val="none" w:sz="0" w:space="0" w:color="auto"/>
                    <w:right w:val="none" w:sz="0" w:space="0" w:color="auto"/>
                  </w:divBdr>
                </w:div>
                <w:div w:id="1449547838">
                  <w:marLeft w:val="1440"/>
                  <w:marRight w:val="0"/>
                  <w:marTop w:val="0"/>
                  <w:marBottom w:val="80"/>
                  <w:divBdr>
                    <w:top w:val="none" w:sz="0" w:space="0" w:color="auto"/>
                    <w:left w:val="none" w:sz="0" w:space="0" w:color="auto"/>
                    <w:bottom w:val="none" w:sz="0" w:space="0" w:color="auto"/>
                    <w:right w:val="none" w:sz="0" w:space="0" w:color="auto"/>
                  </w:divBdr>
                </w:div>
                <w:div w:id="1935554805">
                  <w:marLeft w:val="1440"/>
                  <w:marRight w:val="0"/>
                  <w:marTop w:val="0"/>
                  <w:marBottom w:val="80"/>
                  <w:divBdr>
                    <w:top w:val="none" w:sz="0" w:space="0" w:color="auto"/>
                    <w:left w:val="none" w:sz="0" w:space="0" w:color="auto"/>
                    <w:bottom w:val="none" w:sz="0" w:space="0" w:color="auto"/>
                    <w:right w:val="none" w:sz="0" w:space="0" w:color="auto"/>
                  </w:divBdr>
                </w:div>
                <w:div w:id="783697478">
                  <w:marLeft w:val="1440"/>
                  <w:marRight w:val="0"/>
                  <w:marTop w:val="0"/>
                  <w:marBottom w:val="80"/>
                  <w:divBdr>
                    <w:top w:val="none" w:sz="0" w:space="0" w:color="auto"/>
                    <w:left w:val="none" w:sz="0" w:space="0" w:color="auto"/>
                    <w:bottom w:val="none" w:sz="0" w:space="0" w:color="auto"/>
                    <w:right w:val="none" w:sz="0" w:space="0" w:color="auto"/>
                  </w:divBdr>
                </w:div>
                <w:div w:id="2003315375">
                  <w:marLeft w:val="1440"/>
                  <w:marRight w:val="0"/>
                  <w:marTop w:val="0"/>
                  <w:marBottom w:val="80"/>
                  <w:divBdr>
                    <w:top w:val="none" w:sz="0" w:space="0" w:color="auto"/>
                    <w:left w:val="none" w:sz="0" w:space="0" w:color="auto"/>
                    <w:bottom w:val="none" w:sz="0" w:space="0" w:color="auto"/>
                    <w:right w:val="none" w:sz="0" w:space="0" w:color="auto"/>
                  </w:divBdr>
                </w:div>
                <w:div w:id="155001824">
                  <w:marLeft w:val="1440"/>
                  <w:marRight w:val="0"/>
                  <w:marTop w:val="0"/>
                  <w:marBottom w:val="80"/>
                  <w:divBdr>
                    <w:top w:val="none" w:sz="0" w:space="0" w:color="auto"/>
                    <w:left w:val="none" w:sz="0" w:space="0" w:color="auto"/>
                    <w:bottom w:val="none" w:sz="0" w:space="0" w:color="auto"/>
                    <w:right w:val="none" w:sz="0" w:space="0" w:color="auto"/>
                  </w:divBdr>
                </w:div>
                <w:div w:id="1780174837">
                  <w:marLeft w:val="1440"/>
                  <w:marRight w:val="0"/>
                  <w:marTop w:val="0"/>
                  <w:marBottom w:val="80"/>
                  <w:divBdr>
                    <w:top w:val="none" w:sz="0" w:space="0" w:color="auto"/>
                    <w:left w:val="none" w:sz="0" w:space="0" w:color="auto"/>
                    <w:bottom w:val="none" w:sz="0" w:space="0" w:color="auto"/>
                    <w:right w:val="none" w:sz="0" w:space="0" w:color="auto"/>
                  </w:divBdr>
                </w:div>
                <w:div w:id="182550002">
                  <w:marLeft w:val="1440"/>
                  <w:marRight w:val="0"/>
                  <w:marTop w:val="0"/>
                  <w:marBottom w:val="80"/>
                  <w:divBdr>
                    <w:top w:val="none" w:sz="0" w:space="0" w:color="auto"/>
                    <w:left w:val="none" w:sz="0" w:space="0" w:color="auto"/>
                    <w:bottom w:val="none" w:sz="0" w:space="0" w:color="auto"/>
                    <w:right w:val="none" w:sz="0" w:space="0" w:color="auto"/>
                  </w:divBdr>
                </w:div>
                <w:div w:id="1362979099">
                  <w:marLeft w:val="1440"/>
                  <w:marRight w:val="0"/>
                  <w:marTop w:val="0"/>
                  <w:marBottom w:val="80"/>
                  <w:divBdr>
                    <w:top w:val="none" w:sz="0" w:space="0" w:color="auto"/>
                    <w:left w:val="none" w:sz="0" w:space="0" w:color="auto"/>
                    <w:bottom w:val="none" w:sz="0" w:space="0" w:color="auto"/>
                    <w:right w:val="none" w:sz="0" w:space="0" w:color="auto"/>
                  </w:divBdr>
                </w:div>
                <w:div w:id="1665553232">
                  <w:marLeft w:val="1440"/>
                  <w:marRight w:val="0"/>
                  <w:marTop w:val="0"/>
                  <w:marBottom w:val="80"/>
                  <w:divBdr>
                    <w:top w:val="none" w:sz="0" w:space="0" w:color="auto"/>
                    <w:left w:val="none" w:sz="0" w:space="0" w:color="auto"/>
                    <w:bottom w:val="none" w:sz="0" w:space="0" w:color="auto"/>
                    <w:right w:val="none" w:sz="0" w:space="0" w:color="auto"/>
                  </w:divBdr>
                </w:div>
                <w:div w:id="1264873313">
                  <w:marLeft w:val="1440"/>
                  <w:marRight w:val="0"/>
                  <w:marTop w:val="0"/>
                  <w:marBottom w:val="80"/>
                  <w:divBdr>
                    <w:top w:val="none" w:sz="0" w:space="0" w:color="auto"/>
                    <w:left w:val="none" w:sz="0" w:space="0" w:color="auto"/>
                    <w:bottom w:val="none" w:sz="0" w:space="0" w:color="auto"/>
                    <w:right w:val="none" w:sz="0" w:space="0" w:color="auto"/>
                  </w:divBdr>
                </w:div>
                <w:div w:id="374937960">
                  <w:marLeft w:val="1440"/>
                  <w:marRight w:val="0"/>
                  <w:marTop w:val="0"/>
                  <w:marBottom w:val="80"/>
                  <w:divBdr>
                    <w:top w:val="none" w:sz="0" w:space="0" w:color="auto"/>
                    <w:left w:val="none" w:sz="0" w:space="0" w:color="auto"/>
                    <w:bottom w:val="none" w:sz="0" w:space="0" w:color="auto"/>
                    <w:right w:val="none" w:sz="0" w:space="0" w:color="auto"/>
                  </w:divBdr>
                </w:div>
                <w:div w:id="662199632">
                  <w:marLeft w:val="1440"/>
                  <w:marRight w:val="0"/>
                  <w:marTop w:val="0"/>
                  <w:marBottom w:val="80"/>
                  <w:divBdr>
                    <w:top w:val="none" w:sz="0" w:space="0" w:color="auto"/>
                    <w:left w:val="none" w:sz="0" w:space="0" w:color="auto"/>
                    <w:bottom w:val="none" w:sz="0" w:space="0" w:color="auto"/>
                    <w:right w:val="none" w:sz="0" w:space="0" w:color="auto"/>
                  </w:divBdr>
                </w:div>
                <w:div w:id="1728793975">
                  <w:marLeft w:val="2160"/>
                  <w:marRight w:val="0"/>
                  <w:marTop w:val="0"/>
                  <w:marBottom w:val="80"/>
                  <w:divBdr>
                    <w:top w:val="none" w:sz="0" w:space="0" w:color="auto"/>
                    <w:left w:val="none" w:sz="0" w:space="0" w:color="auto"/>
                    <w:bottom w:val="none" w:sz="0" w:space="0" w:color="auto"/>
                    <w:right w:val="none" w:sz="0" w:space="0" w:color="auto"/>
                  </w:divBdr>
                </w:div>
                <w:div w:id="2038773660">
                  <w:marLeft w:val="2160"/>
                  <w:marRight w:val="0"/>
                  <w:marTop w:val="0"/>
                  <w:marBottom w:val="101"/>
                  <w:divBdr>
                    <w:top w:val="none" w:sz="0" w:space="0" w:color="auto"/>
                    <w:left w:val="none" w:sz="0" w:space="0" w:color="auto"/>
                    <w:bottom w:val="none" w:sz="0" w:space="0" w:color="auto"/>
                    <w:right w:val="none" w:sz="0" w:space="0" w:color="auto"/>
                  </w:divBdr>
                </w:div>
                <w:div w:id="2120448871">
                  <w:marLeft w:val="1440"/>
                  <w:marRight w:val="0"/>
                  <w:marTop w:val="0"/>
                  <w:marBottom w:val="101"/>
                  <w:divBdr>
                    <w:top w:val="none" w:sz="0" w:space="0" w:color="auto"/>
                    <w:left w:val="none" w:sz="0" w:space="0" w:color="auto"/>
                    <w:bottom w:val="none" w:sz="0" w:space="0" w:color="auto"/>
                    <w:right w:val="none" w:sz="0" w:space="0" w:color="auto"/>
                  </w:divBdr>
                </w:div>
                <w:div w:id="1532498475">
                  <w:marLeft w:val="1440"/>
                  <w:marRight w:val="0"/>
                  <w:marTop w:val="0"/>
                  <w:marBottom w:val="101"/>
                  <w:divBdr>
                    <w:top w:val="none" w:sz="0" w:space="0" w:color="auto"/>
                    <w:left w:val="none" w:sz="0" w:space="0" w:color="auto"/>
                    <w:bottom w:val="none" w:sz="0" w:space="0" w:color="auto"/>
                    <w:right w:val="none" w:sz="0" w:space="0" w:color="auto"/>
                  </w:divBdr>
                </w:div>
                <w:div w:id="223104469">
                  <w:marLeft w:val="1440"/>
                  <w:marRight w:val="0"/>
                  <w:marTop w:val="0"/>
                  <w:marBottom w:val="101"/>
                  <w:divBdr>
                    <w:top w:val="none" w:sz="0" w:space="0" w:color="auto"/>
                    <w:left w:val="none" w:sz="0" w:space="0" w:color="auto"/>
                    <w:bottom w:val="none" w:sz="0" w:space="0" w:color="auto"/>
                    <w:right w:val="none" w:sz="0" w:space="0" w:color="auto"/>
                  </w:divBdr>
                </w:div>
                <w:div w:id="1899199658">
                  <w:marLeft w:val="1440"/>
                  <w:marRight w:val="0"/>
                  <w:marTop w:val="0"/>
                  <w:marBottom w:val="101"/>
                  <w:divBdr>
                    <w:top w:val="none" w:sz="0" w:space="0" w:color="auto"/>
                    <w:left w:val="none" w:sz="0" w:space="0" w:color="auto"/>
                    <w:bottom w:val="none" w:sz="0" w:space="0" w:color="auto"/>
                    <w:right w:val="none" w:sz="0" w:space="0" w:color="auto"/>
                  </w:divBdr>
                </w:div>
                <w:div w:id="952829536">
                  <w:marLeft w:val="1440"/>
                  <w:marRight w:val="0"/>
                  <w:marTop w:val="0"/>
                  <w:marBottom w:val="101"/>
                  <w:divBdr>
                    <w:top w:val="none" w:sz="0" w:space="0" w:color="auto"/>
                    <w:left w:val="none" w:sz="0" w:space="0" w:color="auto"/>
                    <w:bottom w:val="none" w:sz="0" w:space="0" w:color="auto"/>
                    <w:right w:val="none" w:sz="0" w:space="0" w:color="auto"/>
                  </w:divBdr>
                </w:div>
                <w:div w:id="235824108">
                  <w:marLeft w:val="1440"/>
                  <w:marRight w:val="0"/>
                  <w:marTop w:val="0"/>
                  <w:marBottom w:val="101"/>
                  <w:divBdr>
                    <w:top w:val="none" w:sz="0" w:space="0" w:color="auto"/>
                    <w:left w:val="none" w:sz="0" w:space="0" w:color="auto"/>
                    <w:bottom w:val="none" w:sz="0" w:space="0" w:color="auto"/>
                    <w:right w:val="none" w:sz="0" w:space="0" w:color="auto"/>
                  </w:divBdr>
                </w:div>
                <w:div w:id="2045280000">
                  <w:marLeft w:val="1440"/>
                  <w:marRight w:val="0"/>
                  <w:marTop w:val="0"/>
                  <w:marBottom w:val="101"/>
                  <w:divBdr>
                    <w:top w:val="none" w:sz="0" w:space="0" w:color="auto"/>
                    <w:left w:val="none" w:sz="0" w:space="0" w:color="auto"/>
                    <w:bottom w:val="none" w:sz="0" w:space="0" w:color="auto"/>
                    <w:right w:val="none" w:sz="0" w:space="0" w:color="auto"/>
                  </w:divBdr>
                </w:div>
                <w:div w:id="1372025953">
                  <w:marLeft w:val="2160"/>
                  <w:marRight w:val="0"/>
                  <w:marTop w:val="0"/>
                  <w:marBottom w:val="101"/>
                  <w:divBdr>
                    <w:top w:val="none" w:sz="0" w:space="0" w:color="auto"/>
                    <w:left w:val="none" w:sz="0" w:space="0" w:color="auto"/>
                    <w:bottom w:val="none" w:sz="0" w:space="0" w:color="auto"/>
                    <w:right w:val="none" w:sz="0" w:space="0" w:color="auto"/>
                  </w:divBdr>
                </w:div>
                <w:div w:id="1640963760">
                  <w:marLeft w:val="2160"/>
                  <w:marRight w:val="0"/>
                  <w:marTop w:val="0"/>
                  <w:marBottom w:val="101"/>
                  <w:divBdr>
                    <w:top w:val="none" w:sz="0" w:space="0" w:color="auto"/>
                    <w:left w:val="none" w:sz="0" w:space="0" w:color="auto"/>
                    <w:bottom w:val="none" w:sz="0" w:space="0" w:color="auto"/>
                    <w:right w:val="none" w:sz="0" w:space="0" w:color="auto"/>
                  </w:divBdr>
                </w:div>
                <w:div w:id="1219784584">
                  <w:marLeft w:val="2160"/>
                  <w:marRight w:val="0"/>
                  <w:marTop w:val="0"/>
                  <w:marBottom w:val="101"/>
                  <w:divBdr>
                    <w:top w:val="none" w:sz="0" w:space="0" w:color="auto"/>
                    <w:left w:val="none" w:sz="0" w:space="0" w:color="auto"/>
                    <w:bottom w:val="none" w:sz="0" w:space="0" w:color="auto"/>
                    <w:right w:val="none" w:sz="0" w:space="0" w:color="auto"/>
                  </w:divBdr>
                </w:div>
                <w:div w:id="1302266074">
                  <w:marLeft w:val="2592"/>
                  <w:marRight w:val="0"/>
                  <w:marTop w:val="0"/>
                  <w:marBottom w:val="101"/>
                  <w:divBdr>
                    <w:top w:val="none" w:sz="0" w:space="0" w:color="auto"/>
                    <w:left w:val="none" w:sz="0" w:space="0" w:color="auto"/>
                    <w:bottom w:val="none" w:sz="0" w:space="0" w:color="auto"/>
                    <w:right w:val="none" w:sz="0" w:space="0" w:color="auto"/>
                  </w:divBdr>
                </w:div>
                <w:div w:id="907688372">
                  <w:marLeft w:val="2592"/>
                  <w:marRight w:val="0"/>
                  <w:marTop w:val="0"/>
                  <w:marBottom w:val="101"/>
                  <w:divBdr>
                    <w:top w:val="none" w:sz="0" w:space="0" w:color="auto"/>
                    <w:left w:val="none" w:sz="0" w:space="0" w:color="auto"/>
                    <w:bottom w:val="none" w:sz="0" w:space="0" w:color="auto"/>
                    <w:right w:val="none" w:sz="0" w:space="0" w:color="auto"/>
                  </w:divBdr>
                </w:div>
                <w:div w:id="944113758">
                  <w:marLeft w:val="2592"/>
                  <w:marRight w:val="0"/>
                  <w:marTop w:val="0"/>
                  <w:marBottom w:val="101"/>
                  <w:divBdr>
                    <w:top w:val="none" w:sz="0" w:space="0" w:color="auto"/>
                    <w:left w:val="none" w:sz="0" w:space="0" w:color="auto"/>
                    <w:bottom w:val="none" w:sz="0" w:space="0" w:color="auto"/>
                    <w:right w:val="none" w:sz="0" w:space="0" w:color="auto"/>
                  </w:divBdr>
                </w:div>
                <w:div w:id="125203596">
                  <w:marLeft w:val="2592"/>
                  <w:marRight w:val="0"/>
                  <w:marTop w:val="0"/>
                  <w:marBottom w:val="101"/>
                  <w:divBdr>
                    <w:top w:val="none" w:sz="0" w:space="0" w:color="auto"/>
                    <w:left w:val="none" w:sz="0" w:space="0" w:color="auto"/>
                    <w:bottom w:val="none" w:sz="0" w:space="0" w:color="auto"/>
                    <w:right w:val="none" w:sz="0" w:space="0" w:color="auto"/>
                  </w:divBdr>
                </w:div>
                <w:div w:id="929432625">
                  <w:marLeft w:val="2160"/>
                  <w:marRight w:val="0"/>
                  <w:marTop w:val="0"/>
                  <w:marBottom w:val="101"/>
                  <w:divBdr>
                    <w:top w:val="none" w:sz="0" w:space="0" w:color="auto"/>
                    <w:left w:val="none" w:sz="0" w:space="0" w:color="auto"/>
                    <w:bottom w:val="none" w:sz="0" w:space="0" w:color="auto"/>
                    <w:right w:val="none" w:sz="0" w:space="0" w:color="auto"/>
                  </w:divBdr>
                </w:div>
                <w:div w:id="1409960256">
                  <w:marLeft w:val="2592"/>
                  <w:marRight w:val="0"/>
                  <w:marTop w:val="0"/>
                  <w:marBottom w:val="101"/>
                  <w:divBdr>
                    <w:top w:val="none" w:sz="0" w:space="0" w:color="auto"/>
                    <w:left w:val="none" w:sz="0" w:space="0" w:color="auto"/>
                    <w:bottom w:val="none" w:sz="0" w:space="0" w:color="auto"/>
                    <w:right w:val="none" w:sz="0" w:space="0" w:color="auto"/>
                  </w:divBdr>
                </w:div>
                <w:div w:id="906064538">
                  <w:marLeft w:val="2592"/>
                  <w:marRight w:val="0"/>
                  <w:marTop w:val="0"/>
                  <w:marBottom w:val="101"/>
                  <w:divBdr>
                    <w:top w:val="none" w:sz="0" w:space="0" w:color="auto"/>
                    <w:left w:val="none" w:sz="0" w:space="0" w:color="auto"/>
                    <w:bottom w:val="none" w:sz="0" w:space="0" w:color="auto"/>
                    <w:right w:val="none" w:sz="0" w:space="0" w:color="auto"/>
                  </w:divBdr>
                </w:div>
                <w:div w:id="680008323">
                  <w:marLeft w:val="3024"/>
                  <w:marRight w:val="0"/>
                  <w:marTop w:val="0"/>
                  <w:marBottom w:val="101"/>
                  <w:divBdr>
                    <w:top w:val="none" w:sz="0" w:space="0" w:color="auto"/>
                    <w:left w:val="none" w:sz="0" w:space="0" w:color="auto"/>
                    <w:bottom w:val="none" w:sz="0" w:space="0" w:color="auto"/>
                    <w:right w:val="none" w:sz="0" w:space="0" w:color="auto"/>
                  </w:divBdr>
                </w:div>
                <w:div w:id="597327499">
                  <w:marLeft w:val="2592"/>
                  <w:marRight w:val="0"/>
                  <w:marTop w:val="0"/>
                  <w:marBottom w:val="101"/>
                  <w:divBdr>
                    <w:top w:val="none" w:sz="0" w:space="0" w:color="auto"/>
                    <w:left w:val="none" w:sz="0" w:space="0" w:color="auto"/>
                    <w:bottom w:val="none" w:sz="0" w:space="0" w:color="auto"/>
                    <w:right w:val="none" w:sz="0" w:space="0" w:color="auto"/>
                  </w:divBdr>
                </w:div>
                <w:div w:id="1088965953">
                  <w:marLeft w:val="2160"/>
                  <w:marRight w:val="0"/>
                  <w:marTop w:val="0"/>
                  <w:marBottom w:val="101"/>
                  <w:divBdr>
                    <w:top w:val="none" w:sz="0" w:space="0" w:color="auto"/>
                    <w:left w:val="none" w:sz="0" w:space="0" w:color="auto"/>
                    <w:bottom w:val="none" w:sz="0" w:space="0" w:color="auto"/>
                    <w:right w:val="none" w:sz="0" w:space="0" w:color="auto"/>
                  </w:divBdr>
                </w:div>
                <w:div w:id="1516385051">
                  <w:marLeft w:val="1440"/>
                  <w:marRight w:val="0"/>
                  <w:marTop w:val="0"/>
                  <w:marBottom w:val="101"/>
                  <w:divBdr>
                    <w:top w:val="none" w:sz="0" w:space="0" w:color="auto"/>
                    <w:left w:val="none" w:sz="0" w:space="0" w:color="auto"/>
                    <w:bottom w:val="none" w:sz="0" w:space="0" w:color="auto"/>
                    <w:right w:val="none" w:sz="0" w:space="0" w:color="auto"/>
                  </w:divBdr>
                </w:div>
                <w:div w:id="1005136053">
                  <w:marLeft w:val="1440"/>
                  <w:marRight w:val="0"/>
                  <w:marTop w:val="0"/>
                  <w:marBottom w:val="101"/>
                  <w:divBdr>
                    <w:top w:val="none" w:sz="0" w:space="0" w:color="auto"/>
                    <w:left w:val="none" w:sz="0" w:space="0" w:color="auto"/>
                    <w:bottom w:val="none" w:sz="0" w:space="0" w:color="auto"/>
                    <w:right w:val="none" w:sz="0" w:space="0" w:color="auto"/>
                  </w:divBdr>
                </w:div>
                <w:div w:id="1276908067">
                  <w:marLeft w:val="1440"/>
                  <w:marRight w:val="0"/>
                  <w:marTop w:val="0"/>
                  <w:marBottom w:val="101"/>
                  <w:divBdr>
                    <w:top w:val="none" w:sz="0" w:space="0" w:color="auto"/>
                    <w:left w:val="none" w:sz="0" w:space="0" w:color="auto"/>
                    <w:bottom w:val="none" w:sz="0" w:space="0" w:color="auto"/>
                    <w:right w:val="none" w:sz="0" w:space="0" w:color="auto"/>
                  </w:divBdr>
                </w:div>
                <w:div w:id="1401059214">
                  <w:marLeft w:val="1440"/>
                  <w:marRight w:val="0"/>
                  <w:marTop w:val="0"/>
                  <w:marBottom w:val="101"/>
                  <w:divBdr>
                    <w:top w:val="none" w:sz="0" w:space="0" w:color="auto"/>
                    <w:left w:val="none" w:sz="0" w:space="0" w:color="auto"/>
                    <w:bottom w:val="none" w:sz="0" w:space="0" w:color="auto"/>
                    <w:right w:val="none" w:sz="0" w:space="0" w:color="auto"/>
                  </w:divBdr>
                </w:div>
                <w:div w:id="792210728">
                  <w:marLeft w:val="2160"/>
                  <w:marRight w:val="0"/>
                  <w:marTop w:val="0"/>
                  <w:marBottom w:val="101"/>
                  <w:divBdr>
                    <w:top w:val="none" w:sz="0" w:space="0" w:color="auto"/>
                    <w:left w:val="none" w:sz="0" w:space="0" w:color="auto"/>
                    <w:bottom w:val="none" w:sz="0" w:space="0" w:color="auto"/>
                    <w:right w:val="none" w:sz="0" w:space="0" w:color="auto"/>
                  </w:divBdr>
                </w:div>
                <w:div w:id="2134327086">
                  <w:marLeft w:val="1440"/>
                  <w:marRight w:val="0"/>
                  <w:marTop w:val="0"/>
                  <w:marBottom w:val="101"/>
                  <w:divBdr>
                    <w:top w:val="none" w:sz="0" w:space="0" w:color="auto"/>
                    <w:left w:val="none" w:sz="0" w:space="0" w:color="auto"/>
                    <w:bottom w:val="none" w:sz="0" w:space="0" w:color="auto"/>
                    <w:right w:val="none" w:sz="0" w:space="0" w:color="auto"/>
                  </w:divBdr>
                </w:div>
                <w:div w:id="1559051192">
                  <w:marLeft w:val="2160"/>
                  <w:marRight w:val="0"/>
                  <w:marTop w:val="0"/>
                  <w:marBottom w:val="101"/>
                  <w:divBdr>
                    <w:top w:val="none" w:sz="0" w:space="0" w:color="auto"/>
                    <w:left w:val="none" w:sz="0" w:space="0" w:color="auto"/>
                    <w:bottom w:val="none" w:sz="0" w:space="0" w:color="auto"/>
                    <w:right w:val="none" w:sz="0" w:space="0" w:color="auto"/>
                  </w:divBdr>
                </w:div>
                <w:div w:id="365520355">
                  <w:marLeft w:val="2160"/>
                  <w:marRight w:val="0"/>
                  <w:marTop w:val="0"/>
                  <w:marBottom w:val="101"/>
                  <w:divBdr>
                    <w:top w:val="none" w:sz="0" w:space="0" w:color="auto"/>
                    <w:left w:val="none" w:sz="0" w:space="0" w:color="auto"/>
                    <w:bottom w:val="none" w:sz="0" w:space="0" w:color="auto"/>
                    <w:right w:val="none" w:sz="0" w:space="0" w:color="auto"/>
                  </w:divBdr>
                </w:div>
                <w:div w:id="1310675539">
                  <w:marLeft w:val="2160"/>
                  <w:marRight w:val="0"/>
                  <w:marTop w:val="0"/>
                  <w:marBottom w:val="101"/>
                  <w:divBdr>
                    <w:top w:val="none" w:sz="0" w:space="0" w:color="auto"/>
                    <w:left w:val="none" w:sz="0" w:space="0" w:color="auto"/>
                    <w:bottom w:val="none" w:sz="0" w:space="0" w:color="auto"/>
                    <w:right w:val="none" w:sz="0" w:space="0" w:color="auto"/>
                  </w:divBdr>
                </w:div>
                <w:div w:id="1556820800">
                  <w:marLeft w:val="2160"/>
                  <w:marRight w:val="0"/>
                  <w:marTop w:val="0"/>
                  <w:marBottom w:val="101"/>
                  <w:divBdr>
                    <w:top w:val="none" w:sz="0" w:space="0" w:color="auto"/>
                    <w:left w:val="none" w:sz="0" w:space="0" w:color="auto"/>
                    <w:bottom w:val="none" w:sz="0" w:space="0" w:color="auto"/>
                    <w:right w:val="none" w:sz="0" w:space="0" w:color="auto"/>
                  </w:divBdr>
                </w:div>
                <w:div w:id="1028336859">
                  <w:marLeft w:val="2160"/>
                  <w:marRight w:val="0"/>
                  <w:marTop w:val="0"/>
                  <w:marBottom w:val="101"/>
                  <w:divBdr>
                    <w:top w:val="none" w:sz="0" w:space="0" w:color="auto"/>
                    <w:left w:val="none" w:sz="0" w:space="0" w:color="auto"/>
                    <w:bottom w:val="none" w:sz="0" w:space="0" w:color="auto"/>
                    <w:right w:val="none" w:sz="0" w:space="0" w:color="auto"/>
                  </w:divBdr>
                </w:div>
                <w:div w:id="1392002144">
                  <w:marLeft w:val="2592"/>
                  <w:marRight w:val="0"/>
                  <w:marTop w:val="0"/>
                  <w:marBottom w:val="101"/>
                  <w:divBdr>
                    <w:top w:val="none" w:sz="0" w:space="0" w:color="auto"/>
                    <w:left w:val="none" w:sz="0" w:space="0" w:color="auto"/>
                    <w:bottom w:val="none" w:sz="0" w:space="0" w:color="auto"/>
                    <w:right w:val="none" w:sz="0" w:space="0" w:color="auto"/>
                  </w:divBdr>
                </w:div>
                <w:div w:id="665135293">
                  <w:marLeft w:val="2592"/>
                  <w:marRight w:val="0"/>
                  <w:marTop w:val="0"/>
                  <w:marBottom w:val="101"/>
                  <w:divBdr>
                    <w:top w:val="none" w:sz="0" w:space="0" w:color="auto"/>
                    <w:left w:val="none" w:sz="0" w:space="0" w:color="auto"/>
                    <w:bottom w:val="none" w:sz="0" w:space="0" w:color="auto"/>
                    <w:right w:val="none" w:sz="0" w:space="0" w:color="auto"/>
                  </w:divBdr>
                </w:div>
                <w:div w:id="1877883567">
                  <w:marLeft w:val="2592"/>
                  <w:marRight w:val="0"/>
                  <w:marTop w:val="0"/>
                  <w:marBottom w:val="101"/>
                  <w:divBdr>
                    <w:top w:val="none" w:sz="0" w:space="0" w:color="auto"/>
                    <w:left w:val="none" w:sz="0" w:space="0" w:color="auto"/>
                    <w:bottom w:val="none" w:sz="0" w:space="0" w:color="auto"/>
                    <w:right w:val="none" w:sz="0" w:space="0" w:color="auto"/>
                  </w:divBdr>
                </w:div>
                <w:div w:id="1431196455">
                  <w:marLeft w:val="2592"/>
                  <w:marRight w:val="0"/>
                  <w:marTop w:val="0"/>
                  <w:marBottom w:val="101"/>
                  <w:divBdr>
                    <w:top w:val="none" w:sz="0" w:space="0" w:color="auto"/>
                    <w:left w:val="none" w:sz="0" w:space="0" w:color="auto"/>
                    <w:bottom w:val="none" w:sz="0" w:space="0" w:color="auto"/>
                    <w:right w:val="none" w:sz="0" w:space="0" w:color="auto"/>
                  </w:divBdr>
                </w:div>
                <w:div w:id="717826733">
                  <w:marLeft w:val="2160"/>
                  <w:marRight w:val="0"/>
                  <w:marTop w:val="0"/>
                  <w:marBottom w:val="101"/>
                  <w:divBdr>
                    <w:top w:val="none" w:sz="0" w:space="0" w:color="auto"/>
                    <w:left w:val="none" w:sz="0" w:space="0" w:color="auto"/>
                    <w:bottom w:val="none" w:sz="0" w:space="0" w:color="auto"/>
                    <w:right w:val="none" w:sz="0" w:space="0" w:color="auto"/>
                  </w:divBdr>
                </w:div>
                <w:div w:id="1123885913">
                  <w:marLeft w:val="2160"/>
                  <w:marRight w:val="0"/>
                  <w:marTop w:val="0"/>
                  <w:marBottom w:val="101"/>
                  <w:divBdr>
                    <w:top w:val="none" w:sz="0" w:space="0" w:color="auto"/>
                    <w:left w:val="none" w:sz="0" w:space="0" w:color="auto"/>
                    <w:bottom w:val="none" w:sz="0" w:space="0" w:color="auto"/>
                    <w:right w:val="none" w:sz="0" w:space="0" w:color="auto"/>
                  </w:divBdr>
                </w:div>
                <w:div w:id="845753584">
                  <w:marLeft w:val="2160"/>
                  <w:marRight w:val="0"/>
                  <w:marTop w:val="0"/>
                  <w:marBottom w:val="101"/>
                  <w:divBdr>
                    <w:top w:val="none" w:sz="0" w:space="0" w:color="auto"/>
                    <w:left w:val="none" w:sz="0" w:space="0" w:color="auto"/>
                    <w:bottom w:val="none" w:sz="0" w:space="0" w:color="auto"/>
                    <w:right w:val="none" w:sz="0" w:space="0" w:color="auto"/>
                  </w:divBdr>
                </w:div>
                <w:div w:id="87583532">
                  <w:marLeft w:val="2160"/>
                  <w:marRight w:val="0"/>
                  <w:marTop w:val="0"/>
                  <w:marBottom w:val="101"/>
                  <w:divBdr>
                    <w:top w:val="none" w:sz="0" w:space="0" w:color="auto"/>
                    <w:left w:val="none" w:sz="0" w:space="0" w:color="auto"/>
                    <w:bottom w:val="none" w:sz="0" w:space="0" w:color="auto"/>
                    <w:right w:val="none" w:sz="0" w:space="0" w:color="auto"/>
                  </w:divBdr>
                </w:div>
                <w:div w:id="451439082">
                  <w:marLeft w:val="2160"/>
                  <w:marRight w:val="0"/>
                  <w:marTop w:val="0"/>
                  <w:marBottom w:val="101"/>
                  <w:divBdr>
                    <w:top w:val="none" w:sz="0" w:space="0" w:color="auto"/>
                    <w:left w:val="none" w:sz="0" w:space="0" w:color="auto"/>
                    <w:bottom w:val="none" w:sz="0" w:space="0" w:color="auto"/>
                    <w:right w:val="none" w:sz="0" w:space="0" w:color="auto"/>
                  </w:divBdr>
                </w:div>
                <w:div w:id="1373925802">
                  <w:marLeft w:val="2160"/>
                  <w:marRight w:val="0"/>
                  <w:marTop w:val="0"/>
                  <w:marBottom w:val="101"/>
                  <w:divBdr>
                    <w:top w:val="none" w:sz="0" w:space="0" w:color="auto"/>
                    <w:left w:val="none" w:sz="0" w:space="0" w:color="auto"/>
                    <w:bottom w:val="none" w:sz="0" w:space="0" w:color="auto"/>
                    <w:right w:val="none" w:sz="0" w:space="0" w:color="auto"/>
                  </w:divBdr>
                </w:div>
                <w:div w:id="905728202">
                  <w:marLeft w:val="2160"/>
                  <w:marRight w:val="0"/>
                  <w:marTop w:val="0"/>
                  <w:marBottom w:val="101"/>
                  <w:divBdr>
                    <w:top w:val="none" w:sz="0" w:space="0" w:color="auto"/>
                    <w:left w:val="none" w:sz="0" w:space="0" w:color="auto"/>
                    <w:bottom w:val="none" w:sz="0" w:space="0" w:color="auto"/>
                    <w:right w:val="none" w:sz="0" w:space="0" w:color="auto"/>
                  </w:divBdr>
                </w:div>
                <w:div w:id="1731464481">
                  <w:marLeft w:val="2592"/>
                  <w:marRight w:val="0"/>
                  <w:marTop w:val="0"/>
                  <w:marBottom w:val="101"/>
                  <w:divBdr>
                    <w:top w:val="none" w:sz="0" w:space="0" w:color="auto"/>
                    <w:left w:val="none" w:sz="0" w:space="0" w:color="auto"/>
                    <w:bottom w:val="none" w:sz="0" w:space="0" w:color="auto"/>
                    <w:right w:val="none" w:sz="0" w:space="0" w:color="auto"/>
                  </w:divBdr>
                </w:div>
                <w:div w:id="1211650739">
                  <w:marLeft w:val="2592"/>
                  <w:marRight w:val="0"/>
                  <w:marTop w:val="0"/>
                  <w:marBottom w:val="101"/>
                  <w:divBdr>
                    <w:top w:val="none" w:sz="0" w:space="0" w:color="auto"/>
                    <w:left w:val="none" w:sz="0" w:space="0" w:color="auto"/>
                    <w:bottom w:val="none" w:sz="0" w:space="0" w:color="auto"/>
                    <w:right w:val="none" w:sz="0" w:space="0" w:color="auto"/>
                  </w:divBdr>
                </w:div>
                <w:div w:id="898440599">
                  <w:marLeft w:val="2592"/>
                  <w:marRight w:val="0"/>
                  <w:marTop w:val="0"/>
                  <w:marBottom w:val="101"/>
                  <w:divBdr>
                    <w:top w:val="none" w:sz="0" w:space="0" w:color="auto"/>
                    <w:left w:val="none" w:sz="0" w:space="0" w:color="auto"/>
                    <w:bottom w:val="none" w:sz="0" w:space="0" w:color="auto"/>
                    <w:right w:val="none" w:sz="0" w:space="0" w:color="auto"/>
                  </w:divBdr>
                </w:div>
                <w:div w:id="1157914702">
                  <w:marLeft w:val="2592"/>
                  <w:marRight w:val="0"/>
                  <w:marTop w:val="0"/>
                  <w:marBottom w:val="101"/>
                  <w:divBdr>
                    <w:top w:val="none" w:sz="0" w:space="0" w:color="auto"/>
                    <w:left w:val="none" w:sz="0" w:space="0" w:color="auto"/>
                    <w:bottom w:val="none" w:sz="0" w:space="0" w:color="auto"/>
                    <w:right w:val="none" w:sz="0" w:space="0" w:color="auto"/>
                  </w:divBdr>
                </w:div>
                <w:div w:id="698431748">
                  <w:marLeft w:val="2160"/>
                  <w:marRight w:val="0"/>
                  <w:marTop w:val="0"/>
                  <w:marBottom w:val="101"/>
                  <w:divBdr>
                    <w:top w:val="none" w:sz="0" w:space="0" w:color="auto"/>
                    <w:left w:val="none" w:sz="0" w:space="0" w:color="auto"/>
                    <w:bottom w:val="none" w:sz="0" w:space="0" w:color="auto"/>
                    <w:right w:val="none" w:sz="0" w:space="0" w:color="auto"/>
                  </w:divBdr>
                </w:div>
                <w:div w:id="1663510050">
                  <w:marLeft w:val="2592"/>
                  <w:marRight w:val="0"/>
                  <w:marTop w:val="0"/>
                  <w:marBottom w:val="101"/>
                  <w:divBdr>
                    <w:top w:val="none" w:sz="0" w:space="0" w:color="auto"/>
                    <w:left w:val="none" w:sz="0" w:space="0" w:color="auto"/>
                    <w:bottom w:val="none" w:sz="0" w:space="0" w:color="auto"/>
                    <w:right w:val="none" w:sz="0" w:space="0" w:color="auto"/>
                  </w:divBdr>
                </w:div>
                <w:div w:id="2016953805">
                  <w:marLeft w:val="2592"/>
                  <w:marRight w:val="0"/>
                  <w:marTop w:val="0"/>
                  <w:marBottom w:val="101"/>
                  <w:divBdr>
                    <w:top w:val="none" w:sz="0" w:space="0" w:color="auto"/>
                    <w:left w:val="none" w:sz="0" w:space="0" w:color="auto"/>
                    <w:bottom w:val="none" w:sz="0" w:space="0" w:color="auto"/>
                    <w:right w:val="none" w:sz="0" w:space="0" w:color="auto"/>
                  </w:divBdr>
                </w:div>
                <w:div w:id="1985694602">
                  <w:marLeft w:val="2592"/>
                  <w:marRight w:val="0"/>
                  <w:marTop w:val="0"/>
                  <w:marBottom w:val="101"/>
                  <w:divBdr>
                    <w:top w:val="none" w:sz="0" w:space="0" w:color="auto"/>
                    <w:left w:val="none" w:sz="0" w:space="0" w:color="auto"/>
                    <w:bottom w:val="none" w:sz="0" w:space="0" w:color="auto"/>
                    <w:right w:val="none" w:sz="0" w:space="0" w:color="auto"/>
                  </w:divBdr>
                </w:div>
                <w:div w:id="176121278">
                  <w:marLeft w:val="2592"/>
                  <w:marRight w:val="0"/>
                  <w:marTop w:val="0"/>
                  <w:marBottom w:val="101"/>
                  <w:divBdr>
                    <w:top w:val="none" w:sz="0" w:space="0" w:color="auto"/>
                    <w:left w:val="none" w:sz="0" w:space="0" w:color="auto"/>
                    <w:bottom w:val="none" w:sz="0" w:space="0" w:color="auto"/>
                    <w:right w:val="none" w:sz="0" w:space="0" w:color="auto"/>
                  </w:divBdr>
                </w:div>
                <w:div w:id="1068108898">
                  <w:marLeft w:val="2592"/>
                  <w:marRight w:val="0"/>
                  <w:marTop w:val="0"/>
                  <w:marBottom w:val="101"/>
                  <w:divBdr>
                    <w:top w:val="none" w:sz="0" w:space="0" w:color="auto"/>
                    <w:left w:val="none" w:sz="0" w:space="0" w:color="auto"/>
                    <w:bottom w:val="none" w:sz="0" w:space="0" w:color="auto"/>
                    <w:right w:val="none" w:sz="0" w:space="0" w:color="auto"/>
                  </w:divBdr>
                </w:div>
                <w:div w:id="288556279">
                  <w:marLeft w:val="2592"/>
                  <w:marRight w:val="0"/>
                  <w:marTop w:val="0"/>
                  <w:marBottom w:val="101"/>
                  <w:divBdr>
                    <w:top w:val="none" w:sz="0" w:space="0" w:color="auto"/>
                    <w:left w:val="none" w:sz="0" w:space="0" w:color="auto"/>
                    <w:bottom w:val="none" w:sz="0" w:space="0" w:color="auto"/>
                    <w:right w:val="none" w:sz="0" w:space="0" w:color="auto"/>
                  </w:divBdr>
                </w:div>
                <w:div w:id="110439538">
                  <w:marLeft w:val="2592"/>
                  <w:marRight w:val="0"/>
                  <w:marTop w:val="0"/>
                  <w:marBottom w:val="101"/>
                  <w:divBdr>
                    <w:top w:val="none" w:sz="0" w:space="0" w:color="auto"/>
                    <w:left w:val="none" w:sz="0" w:space="0" w:color="auto"/>
                    <w:bottom w:val="none" w:sz="0" w:space="0" w:color="auto"/>
                    <w:right w:val="none" w:sz="0" w:space="0" w:color="auto"/>
                  </w:divBdr>
                </w:div>
                <w:div w:id="719864483">
                  <w:marLeft w:val="2160"/>
                  <w:marRight w:val="0"/>
                  <w:marTop w:val="0"/>
                  <w:marBottom w:val="101"/>
                  <w:divBdr>
                    <w:top w:val="none" w:sz="0" w:space="0" w:color="auto"/>
                    <w:left w:val="none" w:sz="0" w:space="0" w:color="auto"/>
                    <w:bottom w:val="none" w:sz="0" w:space="0" w:color="auto"/>
                    <w:right w:val="none" w:sz="0" w:space="0" w:color="auto"/>
                  </w:divBdr>
                </w:div>
                <w:div w:id="222447526">
                  <w:marLeft w:val="2160"/>
                  <w:marRight w:val="0"/>
                  <w:marTop w:val="0"/>
                  <w:marBottom w:val="101"/>
                  <w:divBdr>
                    <w:top w:val="none" w:sz="0" w:space="0" w:color="auto"/>
                    <w:left w:val="none" w:sz="0" w:space="0" w:color="auto"/>
                    <w:bottom w:val="none" w:sz="0" w:space="0" w:color="auto"/>
                    <w:right w:val="none" w:sz="0" w:space="0" w:color="auto"/>
                  </w:divBdr>
                </w:div>
                <w:div w:id="1314986937">
                  <w:marLeft w:val="2160"/>
                  <w:marRight w:val="0"/>
                  <w:marTop w:val="0"/>
                  <w:marBottom w:val="101"/>
                  <w:divBdr>
                    <w:top w:val="none" w:sz="0" w:space="0" w:color="auto"/>
                    <w:left w:val="none" w:sz="0" w:space="0" w:color="auto"/>
                    <w:bottom w:val="none" w:sz="0" w:space="0" w:color="auto"/>
                    <w:right w:val="none" w:sz="0" w:space="0" w:color="auto"/>
                  </w:divBdr>
                </w:div>
                <w:div w:id="536354522">
                  <w:marLeft w:val="2160"/>
                  <w:marRight w:val="0"/>
                  <w:marTop w:val="0"/>
                  <w:marBottom w:val="101"/>
                  <w:divBdr>
                    <w:top w:val="none" w:sz="0" w:space="0" w:color="auto"/>
                    <w:left w:val="none" w:sz="0" w:space="0" w:color="auto"/>
                    <w:bottom w:val="none" w:sz="0" w:space="0" w:color="auto"/>
                    <w:right w:val="none" w:sz="0" w:space="0" w:color="auto"/>
                  </w:divBdr>
                </w:div>
                <w:div w:id="503782805">
                  <w:marLeft w:val="2160"/>
                  <w:marRight w:val="0"/>
                  <w:marTop w:val="0"/>
                  <w:marBottom w:val="101"/>
                  <w:divBdr>
                    <w:top w:val="none" w:sz="0" w:space="0" w:color="auto"/>
                    <w:left w:val="none" w:sz="0" w:space="0" w:color="auto"/>
                    <w:bottom w:val="none" w:sz="0" w:space="0" w:color="auto"/>
                    <w:right w:val="none" w:sz="0" w:space="0" w:color="auto"/>
                  </w:divBdr>
                </w:div>
                <w:div w:id="2026858161">
                  <w:marLeft w:val="2160"/>
                  <w:marRight w:val="0"/>
                  <w:marTop w:val="0"/>
                  <w:marBottom w:val="101"/>
                  <w:divBdr>
                    <w:top w:val="none" w:sz="0" w:space="0" w:color="auto"/>
                    <w:left w:val="none" w:sz="0" w:space="0" w:color="auto"/>
                    <w:bottom w:val="none" w:sz="0" w:space="0" w:color="auto"/>
                    <w:right w:val="none" w:sz="0" w:space="0" w:color="auto"/>
                  </w:divBdr>
                </w:div>
                <w:div w:id="722414652">
                  <w:marLeft w:val="2160"/>
                  <w:marRight w:val="0"/>
                  <w:marTop w:val="0"/>
                  <w:marBottom w:val="101"/>
                  <w:divBdr>
                    <w:top w:val="none" w:sz="0" w:space="0" w:color="auto"/>
                    <w:left w:val="none" w:sz="0" w:space="0" w:color="auto"/>
                    <w:bottom w:val="none" w:sz="0" w:space="0" w:color="auto"/>
                    <w:right w:val="none" w:sz="0" w:space="0" w:color="auto"/>
                  </w:divBdr>
                </w:div>
                <w:div w:id="477918639">
                  <w:marLeft w:val="2160"/>
                  <w:marRight w:val="0"/>
                  <w:marTop w:val="0"/>
                  <w:marBottom w:val="101"/>
                  <w:divBdr>
                    <w:top w:val="none" w:sz="0" w:space="0" w:color="auto"/>
                    <w:left w:val="none" w:sz="0" w:space="0" w:color="auto"/>
                    <w:bottom w:val="none" w:sz="0" w:space="0" w:color="auto"/>
                    <w:right w:val="none" w:sz="0" w:space="0" w:color="auto"/>
                  </w:divBdr>
                </w:div>
                <w:div w:id="2009820955">
                  <w:marLeft w:val="2160"/>
                  <w:marRight w:val="0"/>
                  <w:marTop w:val="0"/>
                  <w:marBottom w:val="101"/>
                  <w:divBdr>
                    <w:top w:val="none" w:sz="0" w:space="0" w:color="auto"/>
                    <w:left w:val="none" w:sz="0" w:space="0" w:color="auto"/>
                    <w:bottom w:val="none" w:sz="0" w:space="0" w:color="auto"/>
                    <w:right w:val="none" w:sz="0" w:space="0" w:color="auto"/>
                  </w:divBdr>
                </w:div>
                <w:div w:id="407727432">
                  <w:marLeft w:val="2160"/>
                  <w:marRight w:val="0"/>
                  <w:marTop w:val="0"/>
                  <w:marBottom w:val="101"/>
                  <w:divBdr>
                    <w:top w:val="none" w:sz="0" w:space="0" w:color="auto"/>
                    <w:left w:val="none" w:sz="0" w:space="0" w:color="auto"/>
                    <w:bottom w:val="none" w:sz="0" w:space="0" w:color="auto"/>
                    <w:right w:val="none" w:sz="0" w:space="0" w:color="auto"/>
                  </w:divBdr>
                </w:div>
                <w:div w:id="420492548">
                  <w:marLeft w:val="2160"/>
                  <w:marRight w:val="0"/>
                  <w:marTop w:val="0"/>
                  <w:marBottom w:val="101"/>
                  <w:divBdr>
                    <w:top w:val="none" w:sz="0" w:space="0" w:color="auto"/>
                    <w:left w:val="none" w:sz="0" w:space="0" w:color="auto"/>
                    <w:bottom w:val="none" w:sz="0" w:space="0" w:color="auto"/>
                    <w:right w:val="none" w:sz="0" w:space="0" w:color="auto"/>
                  </w:divBdr>
                </w:div>
                <w:div w:id="1726249117">
                  <w:marLeft w:val="2160"/>
                  <w:marRight w:val="0"/>
                  <w:marTop w:val="0"/>
                  <w:marBottom w:val="101"/>
                  <w:divBdr>
                    <w:top w:val="none" w:sz="0" w:space="0" w:color="auto"/>
                    <w:left w:val="none" w:sz="0" w:space="0" w:color="auto"/>
                    <w:bottom w:val="none" w:sz="0" w:space="0" w:color="auto"/>
                    <w:right w:val="none" w:sz="0" w:space="0" w:color="auto"/>
                  </w:divBdr>
                </w:div>
                <w:div w:id="996147668">
                  <w:marLeft w:val="2160"/>
                  <w:marRight w:val="0"/>
                  <w:marTop w:val="0"/>
                  <w:marBottom w:val="101"/>
                  <w:divBdr>
                    <w:top w:val="none" w:sz="0" w:space="0" w:color="auto"/>
                    <w:left w:val="none" w:sz="0" w:space="0" w:color="auto"/>
                    <w:bottom w:val="none" w:sz="0" w:space="0" w:color="auto"/>
                    <w:right w:val="none" w:sz="0" w:space="0" w:color="auto"/>
                  </w:divBdr>
                </w:div>
                <w:div w:id="1004551328">
                  <w:marLeft w:val="2160"/>
                  <w:marRight w:val="0"/>
                  <w:marTop w:val="0"/>
                  <w:marBottom w:val="101"/>
                  <w:divBdr>
                    <w:top w:val="none" w:sz="0" w:space="0" w:color="auto"/>
                    <w:left w:val="none" w:sz="0" w:space="0" w:color="auto"/>
                    <w:bottom w:val="none" w:sz="0" w:space="0" w:color="auto"/>
                    <w:right w:val="none" w:sz="0" w:space="0" w:color="auto"/>
                  </w:divBdr>
                </w:div>
                <w:div w:id="1741513172">
                  <w:marLeft w:val="2160"/>
                  <w:marRight w:val="0"/>
                  <w:marTop w:val="0"/>
                  <w:marBottom w:val="101"/>
                  <w:divBdr>
                    <w:top w:val="none" w:sz="0" w:space="0" w:color="auto"/>
                    <w:left w:val="none" w:sz="0" w:space="0" w:color="auto"/>
                    <w:bottom w:val="none" w:sz="0" w:space="0" w:color="auto"/>
                    <w:right w:val="none" w:sz="0" w:space="0" w:color="auto"/>
                  </w:divBdr>
                </w:div>
                <w:div w:id="961502535">
                  <w:marLeft w:val="2160"/>
                  <w:marRight w:val="0"/>
                  <w:marTop w:val="0"/>
                  <w:marBottom w:val="101"/>
                  <w:divBdr>
                    <w:top w:val="none" w:sz="0" w:space="0" w:color="auto"/>
                    <w:left w:val="none" w:sz="0" w:space="0" w:color="auto"/>
                    <w:bottom w:val="none" w:sz="0" w:space="0" w:color="auto"/>
                    <w:right w:val="none" w:sz="0" w:space="0" w:color="auto"/>
                  </w:divBdr>
                </w:div>
                <w:div w:id="108091890">
                  <w:marLeft w:val="2160"/>
                  <w:marRight w:val="0"/>
                  <w:marTop w:val="0"/>
                  <w:marBottom w:val="101"/>
                  <w:divBdr>
                    <w:top w:val="none" w:sz="0" w:space="0" w:color="auto"/>
                    <w:left w:val="none" w:sz="0" w:space="0" w:color="auto"/>
                    <w:bottom w:val="none" w:sz="0" w:space="0" w:color="auto"/>
                    <w:right w:val="none" w:sz="0" w:space="0" w:color="auto"/>
                  </w:divBdr>
                </w:div>
                <w:div w:id="1014964794">
                  <w:marLeft w:val="2592"/>
                  <w:marRight w:val="0"/>
                  <w:marTop w:val="0"/>
                  <w:marBottom w:val="101"/>
                  <w:divBdr>
                    <w:top w:val="none" w:sz="0" w:space="0" w:color="auto"/>
                    <w:left w:val="none" w:sz="0" w:space="0" w:color="auto"/>
                    <w:bottom w:val="none" w:sz="0" w:space="0" w:color="auto"/>
                    <w:right w:val="none" w:sz="0" w:space="0" w:color="auto"/>
                  </w:divBdr>
                </w:div>
                <w:div w:id="634913609">
                  <w:marLeft w:val="2592"/>
                  <w:marRight w:val="0"/>
                  <w:marTop w:val="0"/>
                  <w:marBottom w:val="101"/>
                  <w:divBdr>
                    <w:top w:val="none" w:sz="0" w:space="0" w:color="auto"/>
                    <w:left w:val="none" w:sz="0" w:space="0" w:color="auto"/>
                    <w:bottom w:val="none" w:sz="0" w:space="0" w:color="auto"/>
                    <w:right w:val="none" w:sz="0" w:space="0" w:color="auto"/>
                  </w:divBdr>
                </w:div>
                <w:div w:id="2112428033">
                  <w:marLeft w:val="2160"/>
                  <w:marRight w:val="0"/>
                  <w:marTop w:val="0"/>
                  <w:marBottom w:val="101"/>
                  <w:divBdr>
                    <w:top w:val="none" w:sz="0" w:space="0" w:color="auto"/>
                    <w:left w:val="none" w:sz="0" w:space="0" w:color="auto"/>
                    <w:bottom w:val="none" w:sz="0" w:space="0" w:color="auto"/>
                    <w:right w:val="none" w:sz="0" w:space="0" w:color="auto"/>
                  </w:divBdr>
                </w:div>
                <w:div w:id="2017882827">
                  <w:marLeft w:val="2160"/>
                  <w:marRight w:val="0"/>
                  <w:marTop w:val="0"/>
                  <w:marBottom w:val="101"/>
                  <w:divBdr>
                    <w:top w:val="none" w:sz="0" w:space="0" w:color="auto"/>
                    <w:left w:val="none" w:sz="0" w:space="0" w:color="auto"/>
                    <w:bottom w:val="none" w:sz="0" w:space="0" w:color="auto"/>
                    <w:right w:val="none" w:sz="0" w:space="0" w:color="auto"/>
                  </w:divBdr>
                </w:div>
                <w:div w:id="143936152">
                  <w:marLeft w:val="2160"/>
                  <w:marRight w:val="0"/>
                  <w:marTop w:val="0"/>
                  <w:marBottom w:val="101"/>
                  <w:divBdr>
                    <w:top w:val="none" w:sz="0" w:space="0" w:color="auto"/>
                    <w:left w:val="none" w:sz="0" w:space="0" w:color="auto"/>
                    <w:bottom w:val="none" w:sz="0" w:space="0" w:color="auto"/>
                    <w:right w:val="none" w:sz="0" w:space="0" w:color="auto"/>
                  </w:divBdr>
                </w:div>
                <w:div w:id="1205823584">
                  <w:marLeft w:val="2160"/>
                  <w:marRight w:val="0"/>
                  <w:marTop w:val="0"/>
                  <w:marBottom w:val="101"/>
                  <w:divBdr>
                    <w:top w:val="none" w:sz="0" w:space="0" w:color="auto"/>
                    <w:left w:val="none" w:sz="0" w:space="0" w:color="auto"/>
                    <w:bottom w:val="none" w:sz="0" w:space="0" w:color="auto"/>
                    <w:right w:val="none" w:sz="0" w:space="0" w:color="auto"/>
                  </w:divBdr>
                </w:div>
                <w:div w:id="1058165839">
                  <w:marLeft w:val="2160"/>
                  <w:marRight w:val="0"/>
                  <w:marTop w:val="0"/>
                  <w:marBottom w:val="101"/>
                  <w:divBdr>
                    <w:top w:val="none" w:sz="0" w:space="0" w:color="auto"/>
                    <w:left w:val="none" w:sz="0" w:space="0" w:color="auto"/>
                    <w:bottom w:val="none" w:sz="0" w:space="0" w:color="auto"/>
                    <w:right w:val="none" w:sz="0" w:space="0" w:color="auto"/>
                  </w:divBdr>
                </w:div>
                <w:div w:id="151456038">
                  <w:marLeft w:val="1440"/>
                  <w:marRight w:val="0"/>
                  <w:marTop w:val="0"/>
                  <w:marBottom w:val="101"/>
                  <w:divBdr>
                    <w:top w:val="none" w:sz="0" w:space="0" w:color="auto"/>
                    <w:left w:val="none" w:sz="0" w:space="0" w:color="auto"/>
                    <w:bottom w:val="none" w:sz="0" w:space="0" w:color="auto"/>
                    <w:right w:val="none" w:sz="0" w:space="0" w:color="auto"/>
                  </w:divBdr>
                </w:div>
                <w:div w:id="84808955">
                  <w:marLeft w:val="1440"/>
                  <w:marRight w:val="0"/>
                  <w:marTop w:val="0"/>
                  <w:marBottom w:val="101"/>
                  <w:divBdr>
                    <w:top w:val="none" w:sz="0" w:space="0" w:color="auto"/>
                    <w:left w:val="none" w:sz="0" w:space="0" w:color="auto"/>
                    <w:bottom w:val="none" w:sz="0" w:space="0" w:color="auto"/>
                    <w:right w:val="none" w:sz="0" w:space="0" w:color="auto"/>
                  </w:divBdr>
                </w:div>
                <w:div w:id="1995254718">
                  <w:marLeft w:val="1440"/>
                  <w:marRight w:val="0"/>
                  <w:marTop w:val="0"/>
                  <w:marBottom w:val="101"/>
                  <w:divBdr>
                    <w:top w:val="none" w:sz="0" w:space="0" w:color="auto"/>
                    <w:left w:val="none" w:sz="0" w:space="0" w:color="auto"/>
                    <w:bottom w:val="none" w:sz="0" w:space="0" w:color="auto"/>
                    <w:right w:val="none" w:sz="0" w:space="0" w:color="auto"/>
                  </w:divBdr>
                </w:div>
                <w:div w:id="708340526">
                  <w:marLeft w:val="2160"/>
                  <w:marRight w:val="0"/>
                  <w:marTop w:val="0"/>
                  <w:marBottom w:val="101"/>
                  <w:divBdr>
                    <w:top w:val="none" w:sz="0" w:space="0" w:color="auto"/>
                    <w:left w:val="none" w:sz="0" w:space="0" w:color="auto"/>
                    <w:bottom w:val="none" w:sz="0" w:space="0" w:color="auto"/>
                    <w:right w:val="none" w:sz="0" w:space="0" w:color="auto"/>
                  </w:divBdr>
                </w:div>
                <w:div w:id="2113814255">
                  <w:marLeft w:val="2160"/>
                  <w:marRight w:val="0"/>
                  <w:marTop w:val="0"/>
                  <w:marBottom w:val="101"/>
                  <w:divBdr>
                    <w:top w:val="none" w:sz="0" w:space="0" w:color="auto"/>
                    <w:left w:val="none" w:sz="0" w:space="0" w:color="auto"/>
                    <w:bottom w:val="none" w:sz="0" w:space="0" w:color="auto"/>
                    <w:right w:val="none" w:sz="0" w:space="0" w:color="auto"/>
                  </w:divBdr>
                </w:div>
                <w:div w:id="2144420596">
                  <w:marLeft w:val="2160"/>
                  <w:marRight w:val="0"/>
                  <w:marTop w:val="0"/>
                  <w:marBottom w:val="101"/>
                  <w:divBdr>
                    <w:top w:val="none" w:sz="0" w:space="0" w:color="auto"/>
                    <w:left w:val="none" w:sz="0" w:space="0" w:color="auto"/>
                    <w:bottom w:val="none" w:sz="0" w:space="0" w:color="auto"/>
                    <w:right w:val="none" w:sz="0" w:space="0" w:color="auto"/>
                  </w:divBdr>
                </w:div>
                <w:div w:id="788160048">
                  <w:marLeft w:val="2160"/>
                  <w:marRight w:val="0"/>
                  <w:marTop w:val="0"/>
                  <w:marBottom w:val="80"/>
                  <w:divBdr>
                    <w:top w:val="none" w:sz="0" w:space="0" w:color="auto"/>
                    <w:left w:val="none" w:sz="0" w:space="0" w:color="auto"/>
                    <w:bottom w:val="none" w:sz="0" w:space="0" w:color="auto"/>
                    <w:right w:val="none" w:sz="0" w:space="0" w:color="auto"/>
                  </w:divBdr>
                </w:div>
                <w:div w:id="42291947">
                  <w:marLeft w:val="2160"/>
                  <w:marRight w:val="0"/>
                  <w:marTop w:val="0"/>
                  <w:marBottom w:val="80"/>
                  <w:divBdr>
                    <w:top w:val="none" w:sz="0" w:space="0" w:color="auto"/>
                    <w:left w:val="none" w:sz="0" w:space="0" w:color="auto"/>
                    <w:bottom w:val="none" w:sz="0" w:space="0" w:color="auto"/>
                    <w:right w:val="none" w:sz="0" w:space="0" w:color="auto"/>
                  </w:divBdr>
                </w:div>
                <w:div w:id="269899740">
                  <w:marLeft w:val="2160"/>
                  <w:marRight w:val="0"/>
                  <w:marTop w:val="0"/>
                  <w:marBottom w:val="80"/>
                  <w:divBdr>
                    <w:top w:val="none" w:sz="0" w:space="0" w:color="auto"/>
                    <w:left w:val="none" w:sz="0" w:space="0" w:color="auto"/>
                    <w:bottom w:val="none" w:sz="0" w:space="0" w:color="auto"/>
                    <w:right w:val="none" w:sz="0" w:space="0" w:color="auto"/>
                  </w:divBdr>
                </w:div>
                <w:div w:id="719478338">
                  <w:marLeft w:val="2160"/>
                  <w:marRight w:val="0"/>
                  <w:marTop w:val="0"/>
                  <w:marBottom w:val="80"/>
                  <w:divBdr>
                    <w:top w:val="none" w:sz="0" w:space="0" w:color="auto"/>
                    <w:left w:val="none" w:sz="0" w:space="0" w:color="auto"/>
                    <w:bottom w:val="none" w:sz="0" w:space="0" w:color="auto"/>
                    <w:right w:val="none" w:sz="0" w:space="0" w:color="auto"/>
                  </w:divBdr>
                </w:div>
                <w:div w:id="731078676">
                  <w:marLeft w:val="2160"/>
                  <w:marRight w:val="0"/>
                  <w:marTop w:val="0"/>
                  <w:marBottom w:val="80"/>
                  <w:divBdr>
                    <w:top w:val="none" w:sz="0" w:space="0" w:color="auto"/>
                    <w:left w:val="none" w:sz="0" w:space="0" w:color="auto"/>
                    <w:bottom w:val="none" w:sz="0" w:space="0" w:color="auto"/>
                    <w:right w:val="none" w:sz="0" w:space="0" w:color="auto"/>
                  </w:divBdr>
                </w:div>
                <w:div w:id="2111196042">
                  <w:marLeft w:val="2160"/>
                  <w:marRight w:val="0"/>
                  <w:marTop w:val="0"/>
                  <w:marBottom w:val="80"/>
                  <w:divBdr>
                    <w:top w:val="none" w:sz="0" w:space="0" w:color="auto"/>
                    <w:left w:val="none" w:sz="0" w:space="0" w:color="auto"/>
                    <w:bottom w:val="none" w:sz="0" w:space="0" w:color="auto"/>
                    <w:right w:val="none" w:sz="0" w:space="0" w:color="auto"/>
                  </w:divBdr>
                </w:div>
                <w:div w:id="425612393">
                  <w:marLeft w:val="2160"/>
                  <w:marRight w:val="0"/>
                  <w:marTop w:val="0"/>
                  <w:marBottom w:val="80"/>
                  <w:divBdr>
                    <w:top w:val="none" w:sz="0" w:space="0" w:color="auto"/>
                    <w:left w:val="none" w:sz="0" w:space="0" w:color="auto"/>
                    <w:bottom w:val="none" w:sz="0" w:space="0" w:color="auto"/>
                    <w:right w:val="none" w:sz="0" w:space="0" w:color="auto"/>
                  </w:divBdr>
                </w:div>
                <w:div w:id="1735932863">
                  <w:marLeft w:val="2160"/>
                  <w:marRight w:val="0"/>
                  <w:marTop w:val="0"/>
                  <w:marBottom w:val="80"/>
                  <w:divBdr>
                    <w:top w:val="none" w:sz="0" w:space="0" w:color="auto"/>
                    <w:left w:val="none" w:sz="0" w:space="0" w:color="auto"/>
                    <w:bottom w:val="none" w:sz="0" w:space="0" w:color="auto"/>
                    <w:right w:val="none" w:sz="0" w:space="0" w:color="auto"/>
                  </w:divBdr>
                </w:div>
                <w:div w:id="483787522">
                  <w:marLeft w:val="2160"/>
                  <w:marRight w:val="0"/>
                  <w:marTop w:val="0"/>
                  <w:marBottom w:val="80"/>
                  <w:divBdr>
                    <w:top w:val="none" w:sz="0" w:space="0" w:color="auto"/>
                    <w:left w:val="none" w:sz="0" w:space="0" w:color="auto"/>
                    <w:bottom w:val="none" w:sz="0" w:space="0" w:color="auto"/>
                    <w:right w:val="none" w:sz="0" w:space="0" w:color="auto"/>
                  </w:divBdr>
                </w:div>
                <w:div w:id="1660036457">
                  <w:marLeft w:val="2160"/>
                  <w:marRight w:val="0"/>
                  <w:marTop w:val="0"/>
                  <w:marBottom w:val="80"/>
                  <w:divBdr>
                    <w:top w:val="none" w:sz="0" w:space="0" w:color="auto"/>
                    <w:left w:val="none" w:sz="0" w:space="0" w:color="auto"/>
                    <w:bottom w:val="none" w:sz="0" w:space="0" w:color="auto"/>
                    <w:right w:val="none" w:sz="0" w:space="0" w:color="auto"/>
                  </w:divBdr>
                </w:div>
                <w:div w:id="940840427">
                  <w:marLeft w:val="2160"/>
                  <w:marRight w:val="0"/>
                  <w:marTop w:val="0"/>
                  <w:marBottom w:val="80"/>
                  <w:divBdr>
                    <w:top w:val="none" w:sz="0" w:space="0" w:color="auto"/>
                    <w:left w:val="none" w:sz="0" w:space="0" w:color="auto"/>
                    <w:bottom w:val="none" w:sz="0" w:space="0" w:color="auto"/>
                    <w:right w:val="none" w:sz="0" w:space="0" w:color="auto"/>
                  </w:divBdr>
                </w:div>
                <w:div w:id="1996105908">
                  <w:marLeft w:val="2160"/>
                  <w:marRight w:val="0"/>
                  <w:marTop w:val="0"/>
                  <w:marBottom w:val="80"/>
                  <w:divBdr>
                    <w:top w:val="none" w:sz="0" w:space="0" w:color="auto"/>
                    <w:left w:val="none" w:sz="0" w:space="0" w:color="auto"/>
                    <w:bottom w:val="none" w:sz="0" w:space="0" w:color="auto"/>
                    <w:right w:val="none" w:sz="0" w:space="0" w:color="auto"/>
                  </w:divBdr>
                </w:div>
                <w:div w:id="332495399">
                  <w:marLeft w:val="2160"/>
                  <w:marRight w:val="0"/>
                  <w:marTop w:val="0"/>
                  <w:marBottom w:val="80"/>
                  <w:divBdr>
                    <w:top w:val="none" w:sz="0" w:space="0" w:color="auto"/>
                    <w:left w:val="none" w:sz="0" w:space="0" w:color="auto"/>
                    <w:bottom w:val="none" w:sz="0" w:space="0" w:color="auto"/>
                    <w:right w:val="none" w:sz="0" w:space="0" w:color="auto"/>
                  </w:divBdr>
                </w:div>
                <w:div w:id="1735857802">
                  <w:marLeft w:val="2160"/>
                  <w:marRight w:val="0"/>
                  <w:marTop w:val="0"/>
                  <w:marBottom w:val="80"/>
                  <w:divBdr>
                    <w:top w:val="none" w:sz="0" w:space="0" w:color="auto"/>
                    <w:left w:val="none" w:sz="0" w:space="0" w:color="auto"/>
                    <w:bottom w:val="none" w:sz="0" w:space="0" w:color="auto"/>
                    <w:right w:val="none" w:sz="0" w:space="0" w:color="auto"/>
                  </w:divBdr>
                </w:div>
                <w:div w:id="1127428395">
                  <w:marLeft w:val="1440"/>
                  <w:marRight w:val="0"/>
                  <w:marTop w:val="0"/>
                  <w:marBottom w:val="101"/>
                  <w:divBdr>
                    <w:top w:val="none" w:sz="0" w:space="0" w:color="auto"/>
                    <w:left w:val="none" w:sz="0" w:space="0" w:color="auto"/>
                    <w:bottom w:val="none" w:sz="0" w:space="0" w:color="auto"/>
                    <w:right w:val="none" w:sz="0" w:space="0" w:color="auto"/>
                  </w:divBdr>
                </w:div>
                <w:div w:id="1380086548">
                  <w:marLeft w:val="1440"/>
                  <w:marRight w:val="0"/>
                  <w:marTop w:val="0"/>
                  <w:marBottom w:val="101"/>
                  <w:divBdr>
                    <w:top w:val="none" w:sz="0" w:space="0" w:color="auto"/>
                    <w:left w:val="none" w:sz="0" w:space="0" w:color="auto"/>
                    <w:bottom w:val="none" w:sz="0" w:space="0" w:color="auto"/>
                    <w:right w:val="none" w:sz="0" w:space="0" w:color="auto"/>
                  </w:divBdr>
                </w:div>
                <w:div w:id="1816068783">
                  <w:marLeft w:val="1440"/>
                  <w:marRight w:val="0"/>
                  <w:marTop w:val="0"/>
                  <w:marBottom w:val="101"/>
                  <w:divBdr>
                    <w:top w:val="none" w:sz="0" w:space="0" w:color="auto"/>
                    <w:left w:val="none" w:sz="0" w:space="0" w:color="auto"/>
                    <w:bottom w:val="none" w:sz="0" w:space="0" w:color="auto"/>
                    <w:right w:val="none" w:sz="0" w:space="0" w:color="auto"/>
                  </w:divBdr>
                </w:div>
                <w:div w:id="251745566">
                  <w:marLeft w:val="1440"/>
                  <w:marRight w:val="0"/>
                  <w:marTop w:val="0"/>
                  <w:marBottom w:val="101"/>
                  <w:divBdr>
                    <w:top w:val="none" w:sz="0" w:space="0" w:color="auto"/>
                    <w:left w:val="none" w:sz="0" w:space="0" w:color="auto"/>
                    <w:bottom w:val="none" w:sz="0" w:space="0" w:color="auto"/>
                    <w:right w:val="none" w:sz="0" w:space="0" w:color="auto"/>
                  </w:divBdr>
                </w:div>
                <w:div w:id="1882479144">
                  <w:marLeft w:val="1440"/>
                  <w:marRight w:val="0"/>
                  <w:marTop w:val="0"/>
                  <w:marBottom w:val="101"/>
                  <w:divBdr>
                    <w:top w:val="none" w:sz="0" w:space="0" w:color="auto"/>
                    <w:left w:val="none" w:sz="0" w:space="0" w:color="auto"/>
                    <w:bottom w:val="none" w:sz="0" w:space="0" w:color="auto"/>
                    <w:right w:val="none" w:sz="0" w:space="0" w:color="auto"/>
                  </w:divBdr>
                </w:div>
                <w:div w:id="1352949361">
                  <w:marLeft w:val="1440"/>
                  <w:marRight w:val="0"/>
                  <w:marTop w:val="0"/>
                  <w:marBottom w:val="101"/>
                  <w:divBdr>
                    <w:top w:val="none" w:sz="0" w:space="0" w:color="auto"/>
                    <w:left w:val="none" w:sz="0" w:space="0" w:color="auto"/>
                    <w:bottom w:val="none" w:sz="0" w:space="0" w:color="auto"/>
                    <w:right w:val="none" w:sz="0" w:space="0" w:color="auto"/>
                  </w:divBdr>
                </w:div>
                <w:div w:id="818378817">
                  <w:marLeft w:val="1440"/>
                  <w:marRight w:val="0"/>
                  <w:marTop w:val="0"/>
                  <w:marBottom w:val="101"/>
                  <w:divBdr>
                    <w:top w:val="none" w:sz="0" w:space="0" w:color="auto"/>
                    <w:left w:val="none" w:sz="0" w:space="0" w:color="auto"/>
                    <w:bottom w:val="none" w:sz="0" w:space="0" w:color="auto"/>
                    <w:right w:val="none" w:sz="0" w:space="0" w:color="auto"/>
                  </w:divBdr>
                </w:div>
                <w:div w:id="99839796">
                  <w:marLeft w:val="1440"/>
                  <w:marRight w:val="0"/>
                  <w:marTop w:val="0"/>
                  <w:marBottom w:val="101"/>
                  <w:divBdr>
                    <w:top w:val="none" w:sz="0" w:space="0" w:color="auto"/>
                    <w:left w:val="none" w:sz="0" w:space="0" w:color="auto"/>
                    <w:bottom w:val="none" w:sz="0" w:space="0" w:color="auto"/>
                    <w:right w:val="none" w:sz="0" w:space="0" w:color="auto"/>
                  </w:divBdr>
                </w:div>
                <w:div w:id="984554543">
                  <w:marLeft w:val="1440"/>
                  <w:marRight w:val="0"/>
                  <w:marTop w:val="0"/>
                  <w:marBottom w:val="101"/>
                  <w:divBdr>
                    <w:top w:val="none" w:sz="0" w:space="0" w:color="auto"/>
                    <w:left w:val="none" w:sz="0" w:space="0" w:color="auto"/>
                    <w:bottom w:val="none" w:sz="0" w:space="0" w:color="auto"/>
                    <w:right w:val="none" w:sz="0" w:space="0" w:color="auto"/>
                  </w:divBdr>
                </w:div>
                <w:div w:id="1400247457">
                  <w:marLeft w:val="1440"/>
                  <w:marRight w:val="0"/>
                  <w:marTop w:val="0"/>
                  <w:marBottom w:val="101"/>
                  <w:divBdr>
                    <w:top w:val="none" w:sz="0" w:space="0" w:color="auto"/>
                    <w:left w:val="none" w:sz="0" w:space="0" w:color="auto"/>
                    <w:bottom w:val="none" w:sz="0" w:space="0" w:color="auto"/>
                    <w:right w:val="none" w:sz="0" w:space="0" w:color="auto"/>
                  </w:divBdr>
                </w:div>
                <w:div w:id="2037265860">
                  <w:marLeft w:val="2160"/>
                  <w:marRight w:val="0"/>
                  <w:marTop w:val="0"/>
                  <w:marBottom w:val="101"/>
                  <w:divBdr>
                    <w:top w:val="none" w:sz="0" w:space="0" w:color="auto"/>
                    <w:left w:val="none" w:sz="0" w:space="0" w:color="auto"/>
                    <w:bottom w:val="none" w:sz="0" w:space="0" w:color="auto"/>
                    <w:right w:val="none" w:sz="0" w:space="0" w:color="auto"/>
                  </w:divBdr>
                </w:div>
                <w:div w:id="1036546031">
                  <w:marLeft w:val="2160"/>
                  <w:marRight w:val="0"/>
                  <w:marTop w:val="0"/>
                  <w:marBottom w:val="101"/>
                  <w:divBdr>
                    <w:top w:val="none" w:sz="0" w:space="0" w:color="auto"/>
                    <w:left w:val="none" w:sz="0" w:space="0" w:color="auto"/>
                    <w:bottom w:val="none" w:sz="0" w:space="0" w:color="auto"/>
                    <w:right w:val="none" w:sz="0" w:space="0" w:color="auto"/>
                  </w:divBdr>
                </w:div>
                <w:div w:id="1112241180">
                  <w:marLeft w:val="2160"/>
                  <w:marRight w:val="0"/>
                  <w:marTop w:val="0"/>
                  <w:marBottom w:val="101"/>
                  <w:divBdr>
                    <w:top w:val="none" w:sz="0" w:space="0" w:color="auto"/>
                    <w:left w:val="none" w:sz="0" w:space="0" w:color="auto"/>
                    <w:bottom w:val="none" w:sz="0" w:space="0" w:color="auto"/>
                    <w:right w:val="none" w:sz="0" w:space="0" w:color="auto"/>
                  </w:divBdr>
                </w:div>
                <w:div w:id="1961296546">
                  <w:marLeft w:val="2160"/>
                  <w:marRight w:val="0"/>
                  <w:marTop w:val="0"/>
                  <w:marBottom w:val="101"/>
                  <w:divBdr>
                    <w:top w:val="none" w:sz="0" w:space="0" w:color="auto"/>
                    <w:left w:val="none" w:sz="0" w:space="0" w:color="auto"/>
                    <w:bottom w:val="none" w:sz="0" w:space="0" w:color="auto"/>
                    <w:right w:val="none" w:sz="0" w:space="0" w:color="auto"/>
                  </w:divBdr>
                </w:div>
                <w:div w:id="85729727">
                  <w:marLeft w:val="1440"/>
                  <w:marRight w:val="0"/>
                  <w:marTop w:val="0"/>
                  <w:marBottom w:val="101"/>
                  <w:divBdr>
                    <w:top w:val="none" w:sz="0" w:space="0" w:color="auto"/>
                    <w:left w:val="none" w:sz="0" w:space="0" w:color="auto"/>
                    <w:bottom w:val="none" w:sz="0" w:space="0" w:color="auto"/>
                    <w:right w:val="none" w:sz="0" w:space="0" w:color="auto"/>
                  </w:divBdr>
                </w:div>
                <w:div w:id="696470549">
                  <w:marLeft w:val="1440"/>
                  <w:marRight w:val="0"/>
                  <w:marTop w:val="0"/>
                  <w:marBottom w:val="101"/>
                  <w:divBdr>
                    <w:top w:val="none" w:sz="0" w:space="0" w:color="auto"/>
                    <w:left w:val="none" w:sz="0" w:space="0" w:color="auto"/>
                    <w:bottom w:val="none" w:sz="0" w:space="0" w:color="auto"/>
                    <w:right w:val="none" w:sz="0" w:space="0" w:color="auto"/>
                  </w:divBdr>
                </w:div>
                <w:div w:id="1485586347">
                  <w:marLeft w:val="1440"/>
                  <w:marRight w:val="0"/>
                  <w:marTop w:val="0"/>
                  <w:marBottom w:val="101"/>
                  <w:divBdr>
                    <w:top w:val="none" w:sz="0" w:space="0" w:color="auto"/>
                    <w:left w:val="none" w:sz="0" w:space="0" w:color="auto"/>
                    <w:bottom w:val="none" w:sz="0" w:space="0" w:color="auto"/>
                    <w:right w:val="none" w:sz="0" w:space="0" w:color="auto"/>
                  </w:divBdr>
                </w:div>
                <w:div w:id="371032027">
                  <w:marLeft w:val="1440"/>
                  <w:marRight w:val="0"/>
                  <w:marTop w:val="0"/>
                  <w:marBottom w:val="101"/>
                  <w:divBdr>
                    <w:top w:val="none" w:sz="0" w:space="0" w:color="auto"/>
                    <w:left w:val="none" w:sz="0" w:space="0" w:color="auto"/>
                    <w:bottom w:val="none" w:sz="0" w:space="0" w:color="auto"/>
                    <w:right w:val="none" w:sz="0" w:space="0" w:color="auto"/>
                  </w:divBdr>
                </w:div>
                <w:div w:id="872691397">
                  <w:marLeft w:val="1440"/>
                  <w:marRight w:val="0"/>
                  <w:marTop w:val="0"/>
                  <w:marBottom w:val="101"/>
                  <w:divBdr>
                    <w:top w:val="none" w:sz="0" w:space="0" w:color="auto"/>
                    <w:left w:val="none" w:sz="0" w:space="0" w:color="auto"/>
                    <w:bottom w:val="none" w:sz="0" w:space="0" w:color="auto"/>
                    <w:right w:val="none" w:sz="0" w:space="0" w:color="auto"/>
                  </w:divBdr>
                </w:div>
                <w:div w:id="1034502998">
                  <w:marLeft w:val="1440"/>
                  <w:marRight w:val="0"/>
                  <w:marTop w:val="0"/>
                  <w:marBottom w:val="101"/>
                  <w:divBdr>
                    <w:top w:val="none" w:sz="0" w:space="0" w:color="auto"/>
                    <w:left w:val="none" w:sz="0" w:space="0" w:color="auto"/>
                    <w:bottom w:val="none" w:sz="0" w:space="0" w:color="auto"/>
                    <w:right w:val="none" w:sz="0" w:space="0" w:color="auto"/>
                  </w:divBdr>
                </w:div>
                <w:div w:id="1194152701">
                  <w:marLeft w:val="1440"/>
                  <w:marRight w:val="0"/>
                  <w:marTop w:val="0"/>
                  <w:marBottom w:val="101"/>
                  <w:divBdr>
                    <w:top w:val="none" w:sz="0" w:space="0" w:color="auto"/>
                    <w:left w:val="none" w:sz="0" w:space="0" w:color="auto"/>
                    <w:bottom w:val="none" w:sz="0" w:space="0" w:color="auto"/>
                    <w:right w:val="none" w:sz="0" w:space="0" w:color="auto"/>
                  </w:divBdr>
                </w:div>
                <w:div w:id="1414012917">
                  <w:marLeft w:val="2160"/>
                  <w:marRight w:val="0"/>
                  <w:marTop w:val="0"/>
                  <w:marBottom w:val="101"/>
                  <w:divBdr>
                    <w:top w:val="none" w:sz="0" w:space="0" w:color="auto"/>
                    <w:left w:val="none" w:sz="0" w:space="0" w:color="auto"/>
                    <w:bottom w:val="none" w:sz="0" w:space="0" w:color="auto"/>
                    <w:right w:val="none" w:sz="0" w:space="0" w:color="auto"/>
                  </w:divBdr>
                </w:div>
                <w:div w:id="333267343">
                  <w:marLeft w:val="2160"/>
                  <w:marRight w:val="0"/>
                  <w:marTop w:val="0"/>
                  <w:marBottom w:val="101"/>
                  <w:divBdr>
                    <w:top w:val="none" w:sz="0" w:space="0" w:color="auto"/>
                    <w:left w:val="none" w:sz="0" w:space="0" w:color="auto"/>
                    <w:bottom w:val="none" w:sz="0" w:space="0" w:color="auto"/>
                    <w:right w:val="none" w:sz="0" w:space="0" w:color="auto"/>
                  </w:divBdr>
                </w:div>
                <w:div w:id="587154668">
                  <w:marLeft w:val="2592"/>
                  <w:marRight w:val="0"/>
                  <w:marTop w:val="0"/>
                  <w:marBottom w:val="101"/>
                  <w:divBdr>
                    <w:top w:val="none" w:sz="0" w:space="0" w:color="auto"/>
                    <w:left w:val="none" w:sz="0" w:space="0" w:color="auto"/>
                    <w:bottom w:val="none" w:sz="0" w:space="0" w:color="auto"/>
                    <w:right w:val="none" w:sz="0" w:space="0" w:color="auto"/>
                  </w:divBdr>
                </w:div>
                <w:div w:id="682441416">
                  <w:marLeft w:val="2592"/>
                  <w:marRight w:val="0"/>
                  <w:marTop w:val="0"/>
                  <w:marBottom w:val="101"/>
                  <w:divBdr>
                    <w:top w:val="none" w:sz="0" w:space="0" w:color="auto"/>
                    <w:left w:val="none" w:sz="0" w:space="0" w:color="auto"/>
                    <w:bottom w:val="none" w:sz="0" w:space="0" w:color="auto"/>
                    <w:right w:val="none" w:sz="0" w:space="0" w:color="auto"/>
                  </w:divBdr>
                </w:div>
                <w:div w:id="829253680">
                  <w:marLeft w:val="2160"/>
                  <w:marRight w:val="0"/>
                  <w:marTop w:val="0"/>
                  <w:marBottom w:val="101"/>
                  <w:divBdr>
                    <w:top w:val="none" w:sz="0" w:space="0" w:color="auto"/>
                    <w:left w:val="none" w:sz="0" w:space="0" w:color="auto"/>
                    <w:bottom w:val="none" w:sz="0" w:space="0" w:color="auto"/>
                    <w:right w:val="none" w:sz="0" w:space="0" w:color="auto"/>
                  </w:divBdr>
                </w:div>
                <w:div w:id="561255599">
                  <w:marLeft w:val="2160"/>
                  <w:marRight w:val="0"/>
                  <w:marTop w:val="0"/>
                  <w:marBottom w:val="101"/>
                  <w:divBdr>
                    <w:top w:val="none" w:sz="0" w:space="0" w:color="auto"/>
                    <w:left w:val="none" w:sz="0" w:space="0" w:color="auto"/>
                    <w:bottom w:val="none" w:sz="0" w:space="0" w:color="auto"/>
                    <w:right w:val="none" w:sz="0" w:space="0" w:color="auto"/>
                  </w:divBdr>
                </w:div>
                <w:div w:id="2057005822">
                  <w:marLeft w:val="2160"/>
                  <w:marRight w:val="0"/>
                  <w:marTop w:val="0"/>
                  <w:marBottom w:val="101"/>
                  <w:divBdr>
                    <w:top w:val="none" w:sz="0" w:space="0" w:color="auto"/>
                    <w:left w:val="none" w:sz="0" w:space="0" w:color="auto"/>
                    <w:bottom w:val="none" w:sz="0" w:space="0" w:color="auto"/>
                    <w:right w:val="none" w:sz="0" w:space="0" w:color="auto"/>
                  </w:divBdr>
                </w:div>
                <w:div w:id="740448015">
                  <w:marLeft w:val="1440"/>
                  <w:marRight w:val="0"/>
                  <w:marTop w:val="0"/>
                  <w:marBottom w:val="101"/>
                  <w:divBdr>
                    <w:top w:val="none" w:sz="0" w:space="0" w:color="auto"/>
                    <w:left w:val="none" w:sz="0" w:space="0" w:color="auto"/>
                    <w:bottom w:val="none" w:sz="0" w:space="0" w:color="auto"/>
                    <w:right w:val="none" w:sz="0" w:space="0" w:color="auto"/>
                  </w:divBdr>
                </w:div>
                <w:div w:id="1976137306">
                  <w:marLeft w:val="2160"/>
                  <w:marRight w:val="0"/>
                  <w:marTop w:val="0"/>
                  <w:marBottom w:val="101"/>
                  <w:divBdr>
                    <w:top w:val="none" w:sz="0" w:space="0" w:color="auto"/>
                    <w:left w:val="none" w:sz="0" w:space="0" w:color="auto"/>
                    <w:bottom w:val="none" w:sz="0" w:space="0" w:color="auto"/>
                    <w:right w:val="none" w:sz="0" w:space="0" w:color="auto"/>
                  </w:divBdr>
                </w:div>
                <w:div w:id="357659184">
                  <w:marLeft w:val="2160"/>
                  <w:marRight w:val="0"/>
                  <w:marTop w:val="0"/>
                  <w:marBottom w:val="101"/>
                  <w:divBdr>
                    <w:top w:val="none" w:sz="0" w:space="0" w:color="auto"/>
                    <w:left w:val="none" w:sz="0" w:space="0" w:color="auto"/>
                    <w:bottom w:val="none" w:sz="0" w:space="0" w:color="auto"/>
                    <w:right w:val="none" w:sz="0" w:space="0" w:color="auto"/>
                  </w:divBdr>
                </w:div>
                <w:div w:id="1414274967">
                  <w:marLeft w:val="2160"/>
                  <w:marRight w:val="0"/>
                  <w:marTop w:val="0"/>
                  <w:marBottom w:val="101"/>
                  <w:divBdr>
                    <w:top w:val="none" w:sz="0" w:space="0" w:color="auto"/>
                    <w:left w:val="none" w:sz="0" w:space="0" w:color="auto"/>
                    <w:bottom w:val="none" w:sz="0" w:space="0" w:color="auto"/>
                    <w:right w:val="none" w:sz="0" w:space="0" w:color="auto"/>
                  </w:divBdr>
                </w:div>
                <w:div w:id="2043243848">
                  <w:marLeft w:val="2160"/>
                  <w:marRight w:val="0"/>
                  <w:marTop w:val="0"/>
                  <w:marBottom w:val="101"/>
                  <w:divBdr>
                    <w:top w:val="none" w:sz="0" w:space="0" w:color="auto"/>
                    <w:left w:val="none" w:sz="0" w:space="0" w:color="auto"/>
                    <w:bottom w:val="none" w:sz="0" w:space="0" w:color="auto"/>
                    <w:right w:val="none" w:sz="0" w:space="0" w:color="auto"/>
                  </w:divBdr>
                </w:div>
                <w:div w:id="432476802">
                  <w:marLeft w:val="2160"/>
                  <w:marRight w:val="0"/>
                  <w:marTop w:val="0"/>
                  <w:marBottom w:val="101"/>
                  <w:divBdr>
                    <w:top w:val="none" w:sz="0" w:space="0" w:color="auto"/>
                    <w:left w:val="none" w:sz="0" w:space="0" w:color="auto"/>
                    <w:bottom w:val="none" w:sz="0" w:space="0" w:color="auto"/>
                    <w:right w:val="none" w:sz="0" w:space="0" w:color="auto"/>
                  </w:divBdr>
                </w:div>
                <w:div w:id="259024914">
                  <w:marLeft w:val="2160"/>
                  <w:marRight w:val="0"/>
                  <w:marTop w:val="0"/>
                  <w:marBottom w:val="101"/>
                  <w:divBdr>
                    <w:top w:val="none" w:sz="0" w:space="0" w:color="auto"/>
                    <w:left w:val="none" w:sz="0" w:space="0" w:color="auto"/>
                    <w:bottom w:val="none" w:sz="0" w:space="0" w:color="auto"/>
                    <w:right w:val="none" w:sz="0" w:space="0" w:color="auto"/>
                  </w:divBdr>
                </w:div>
                <w:div w:id="667171456">
                  <w:marLeft w:val="1440"/>
                  <w:marRight w:val="0"/>
                  <w:marTop w:val="0"/>
                  <w:marBottom w:val="101"/>
                  <w:divBdr>
                    <w:top w:val="none" w:sz="0" w:space="0" w:color="auto"/>
                    <w:left w:val="none" w:sz="0" w:space="0" w:color="auto"/>
                    <w:bottom w:val="none" w:sz="0" w:space="0" w:color="auto"/>
                    <w:right w:val="none" w:sz="0" w:space="0" w:color="auto"/>
                  </w:divBdr>
                </w:div>
                <w:div w:id="1681199511">
                  <w:marLeft w:val="1440"/>
                  <w:marRight w:val="0"/>
                  <w:marTop w:val="0"/>
                  <w:marBottom w:val="101"/>
                  <w:divBdr>
                    <w:top w:val="none" w:sz="0" w:space="0" w:color="auto"/>
                    <w:left w:val="none" w:sz="0" w:space="0" w:color="auto"/>
                    <w:bottom w:val="none" w:sz="0" w:space="0" w:color="auto"/>
                    <w:right w:val="none" w:sz="0" w:space="0" w:color="auto"/>
                  </w:divBdr>
                </w:div>
                <w:div w:id="1737391909">
                  <w:marLeft w:val="1440"/>
                  <w:marRight w:val="0"/>
                  <w:marTop w:val="0"/>
                  <w:marBottom w:val="101"/>
                  <w:divBdr>
                    <w:top w:val="none" w:sz="0" w:space="0" w:color="auto"/>
                    <w:left w:val="none" w:sz="0" w:space="0" w:color="auto"/>
                    <w:bottom w:val="none" w:sz="0" w:space="0" w:color="auto"/>
                    <w:right w:val="none" w:sz="0" w:space="0" w:color="auto"/>
                  </w:divBdr>
                </w:div>
                <w:div w:id="1686517950">
                  <w:marLeft w:val="1440"/>
                  <w:marRight w:val="0"/>
                  <w:marTop w:val="0"/>
                  <w:marBottom w:val="101"/>
                  <w:divBdr>
                    <w:top w:val="none" w:sz="0" w:space="0" w:color="auto"/>
                    <w:left w:val="none" w:sz="0" w:space="0" w:color="auto"/>
                    <w:bottom w:val="none" w:sz="0" w:space="0" w:color="auto"/>
                    <w:right w:val="none" w:sz="0" w:space="0" w:color="auto"/>
                  </w:divBdr>
                </w:div>
                <w:div w:id="1951625903">
                  <w:marLeft w:val="1440"/>
                  <w:marRight w:val="0"/>
                  <w:marTop w:val="0"/>
                  <w:marBottom w:val="101"/>
                  <w:divBdr>
                    <w:top w:val="none" w:sz="0" w:space="0" w:color="auto"/>
                    <w:left w:val="none" w:sz="0" w:space="0" w:color="auto"/>
                    <w:bottom w:val="none" w:sz="0" w:space="0" w:color="auto"/>
                    <w:right w:val="none" w:sz="0" w:space="0" w:color="auto"/>
                  </w:divBdr>
                </w:div>
                <w:div w:id="986129522">
                  <w:marLeft w:val="1440"/>
                  <w:marRight w:val="0"/>
                  <w:marTop w:val="0"/>
                  <w:marBottom w:val="101"/>
                  <w:divBdr>
                    <w:top w:val="none" w:sz="0" w:space="0" w:color="auto"/>
                    <w:left w:val="none" w:sz="0" w:space="0" w:color="auto"/>
                    <w:bottom w:val="none" w:sz="0" w:space="0" w:color="auto"/>
                    <w:right w:val="none" w:sz="0" w:space="0" w:color="auto"/>
                  </w:divBdr>
                </w:div>
                <w:div w:id="697705353">
                  <w:marLeft w:val="1440"/>
                  <w:marRight w:val="0"/>
                  <w:marTop w:val="0"/>
                  <w:marBottom w:val="101"/>
                  <w:divBdr>
                    <w:top w:val="none" w:sz="0" w:space="0" w:color="auto"/>
                    <w:left w:val="none" w:sz="0" w:space="0" w:color="auto"/>
                    <w:bottom w:val="none" w:sz="0" w:space="0" w:color="auto"/>
                    <w:right w:val="none" w:sz="0" w:space="0" w:color="auto"/>
                  </w:divBdr>
                </w:div>
                <w:div w:id="1325010549">
                  <w:marLeft w:val="1440"/>
                  <w:marRight w:val="0"/>
                  <w:marTop w:val="0"/>
                  <w:marBottom w:val="101"/>
                  <w:divBdr>
                    <w:top w:val="none" w:sz="0" w:space="0" w:color="auto"/>
                    <w:left w:val="none" w:sz="0" w:space="0" w:color="auto"/>
                    <w:bottom w:val="none" w:sz="0" w:space="0" w:color="auto"/>
                    <w:right w:val="none" w:sz="0" w:space="0" w:color="auto"/>
                  </w:divBdr>
                </w:div>
                <w:div w:id="556860927">
                  <w:marLeft w:val="1440"/>
                  <w:marRight w:val="0"/>
                  <w:marTop w:val="0"/>
                  <w:marBottom w:val="101"/>
                  <w:divBdr>
                    <w:top w:val="none" w:sz="0" w:space="0" w:color="auto"/>
                    <w:left w:val="none" w:sz="0" w:space="0" w:color="auto"/>
                    <w:bottom w:val="none" w:sz="0" w:space="0" w:color="auto"/>
                    <w:right w:val="none" w:sz="0" w:space="0" w:color="auto"/>
                  </w:divBdr>
                </w:div>
                <w:div w:id="275871615">
                  <w:marLeft w:val="1440"/>
                  <w:marRight w:val="0"/>
                  <w:marTop w:val="0"/>
                  <w:marBottom w:val="101"/>
                  <w:divBdr>
                    <w:top w:val="none" w:sz="0" w:space="0" w:color="auto"/>
                    <w:left w:val="none" w:sz="0" w:space="0" w:color="auto"/>
                    <w:bottom w:val="none" w:sz="0" w:space="0" w:color="auto"/>
                    <w:right w:val="none" w:sz="0" w:space="0" w:color="auto"/>
                  </w:divBdr>
                </w:div>
                <w:div w:id="1605574232">
                  <w:marLeft w:val="1440"/>
                  <w:marRight w:val="0"/>
                  <w:marTop w:val="0"/>
                  <w:marBottom w:val="101"/>
                  <w:divBdr>
                    <w:top w:val="none" w:sz="0" w:space="0" w:color="auto"/>
                    <w:left w:val="none" w:sz="0" w:space="0" w:color="auto"/>
                    <w:bottom w:val="none" w:sz="0" w:space="0" w:color="auto"/>
                    <w:right w:val="none" w:sz="0" w:space="0" w:color="auto"/>
                  </w:divBdr>
                </w:div>
                <w:div w:id="816654735">
                  <w:marLeft w:val="1440"/>
                  <w:marRight w:val="0"/>
                  <w:marTop w:val="0"/>
                  <w:marBottom w:val="101"/>
                  <w:divBdr>
                    <w:top w:val="none" w:sz="0" w:space="0" w:color="auto"/>
                    <w:left w:val="none" w:sz="0" w:space="0" w:color="auto"/>
                    <w:bottom w:val="none" w:sz="0" w:space="0" w:color="auto"/>
                    <w:right w:val="none" w:sz="0" w:space="0" w:color="auto"/>
                  </w:divBdr>
                </w:div>
                <w:div w:id="1453671989">
                  <w:marLeft w:val="1440"/>
                  <w:marRight w:val="0"/>
                  <w:marTop w:val="0"/>
                  <w:marBottom w:val="86"/>
                  <w:divBdr>
                    <w:top w:val="none" w:sz="0" w:space="0" w:color="auto"/>
                    <w:left w:val="none" w:sz="0" w:space="0" w:color="auto"/>
                    <w:bottom w:val="none" w:sz="0" w:space="0" w:color="auto"/>
                    <w:right w:val="none" w:sz="0" w:space="0" w:color="auto"/>
                  </w:divBdr>
                </w:div>
                <w:div w:id="1993751174">
                  <w:marLeft w:val="1440"/>
                  <w:marRight w:val="0"/>
                  <w:marTop w:val="0"/>
                  <w:marBottom w:val="86"/>
                  <w:divBdr>
                    <w:top w:val="none" w:sz="0" w:space="0" w:color="auto"/>
                    <w:left w:val="none" w:sz="0" w:space="0" w:color="auto"/>
                    <w:bottom w:val="none" w:sz="0" w:space="0" w:color="auto"/>
                    <w:right w:val="none" w:sz="0" w:space="0" w:color="auto"/>
                  </w:divBdr>
                </w:div>
                <w:div w:id="957489636">
                  <w:marLeft w:val="1440"/>
                  <w:marRight w:val="0"/>
                  <w:marTop w:val="0"/>
                  <w:marBottom w:val="86"/>
                  <w:divBdr>
                    <w:top w:val="none" w:sz="0" w:space="0" w:color="auto"/>
                    <w:left w:val="none" w:sz="0" w:space="0" w:color="auto"/>
                    <w:bottom w:val="none" w:sz="0" w:space="0" w:color="auto"/>
                    <w:right w:val="none" w:sz="0" w:space="0" w:color="auto"/>
                  </w:divBdr>
                </w:div>
                <w:div w:id="1113134595">
                  <w:marLeft w:val="1440"/>
                  <w:marRight w:val="0"/>
                  <w:marTop w:val="0"/>
                  <w:marBottom w:val="86"/>
                  <w:divBdr>
                    <w:top w:val="none" w:sz="0" w:space="0" w:color="auto"/>
                    <w:left w:val="none" w:sz="0" w:space="0" w:color="auto"/>
                    <w:bottom w:val="none" w:sz="0" w:space="0" w:color="auto"/>
                    <w:right w:val="none" w:sz="0" w:space="0" w:color="auto"/>
                  </w:divBdr>
                </w:div>
                <w:div w:id="1984503958">
                  <w:marLeft w:val="1440"/>
                  <w:marRight w:val="0"/>
                  <w:marTop w:val="0"/>
                  <w:marBottom w:val="86"/>
                  <w:divBdr>
                    <w:top w:val="none" w:sz="0" w:space="0" w:color="auto"/>
                    <w:left w:val="none" w:sz="0" w:space="0" w:color="auto"/>
                    <w:bottom w:val="none" w:sz="0" w:space="0" w:color="auto"/>
                    <w:right w:val="none" w:sz="0" w:space="0" w:color="auto"/>
                  </w:divBdr>
                </w:div>
                <w:div w:id="789789479">
                  <w:marLeft w:val="1440"/>
                  <w:marRight w:val="0"/>
                  <w:marTop w:val="0"/>
                  <w:marBottom w:val="86"/>
                  <w:divBdr>
                    <w:top w:val="none" w:sz="0" w:space="0" w:color="auto"/>
                    <w:left w:val="none" w:sz="0" w:space="0" w:color="auto"/>
                    <w:bottom w:val="none" w:sz="0" w:space="0" w:color="auto"/>
                    <w:right w:val="none" w:sz="0" w:space="0" w:color="auto"/>
                  </w:divBdr>
                </w:div>
                <w:div w:id="1655912364">
                  <w:marLeft w:val="1440"/>
                  <w:marRight w:val="0"/>
                  <w:marTop w:val="0"/>
                  <w:marBottom w:val="86"/>
                  <w:divBdr>
                    <w:top w:val="none" w:sz="0" w:space="0" w:color="auto"/>
                    <w:left w:val="none" w:sz="0" w:space="0" w:color="auto"/>
                    <w:bottom w:val="none" w:sz="0" w:space="0" w:color="auto"/>
                    <w:right w:val="none" w:sz="0" w:space="0" w:color="auto"/>
                  </w:divBdr>
                </w:div>
                <w:div w:id="1825390251">
                  <w:marLeft w:val="1440"/>
                  <w:marRight w:val="0"/>
                  <w:marTop w:val="0"/>
                  <w:marBottom w:val="86"/>
                  <w:divBdr>
                    <w:top w:val="none" w:sz="0" w:space="0" w:color="auto"/>
                    <w:left w:val="none" w:sz="0" w:space="0" w:color="auto"/>
                    <w:bottom w:val="none" w:sz="0" w:space="0" w:color="auto"/>
                    <w:right w:val="none" w:sz="0" w:space="0" w:color="auto"/>
                  </w:divBdr>
                </w:div>
                <w:div w:id="1381174279">
                  <w:marLeft w:val="2160"/>
                  <w:marRight w:val="0"/>
                  <w:marTop w:val="0"/>
                  <w:marBottom w:val="86"/>
                  <w:divBdr>
                    <w:top w:val="none" w:sz="0" w:space="0" w:color="auto"/>
                    <w:left w:val="none" w:sz="0" w:space="0" w:color="auto"/>
                    <w:bottom w:val="none" w:sz="0" w:space="0" w:color="auto"/>
                    <w:right w:val="none" w:sz="0" w:space="0" w:color="auto"/>
                  </w:divBdr>
                </w:div>
                <w:div w:id="2079553273">
                  <w:marLeft w:val="2160"/>
                  <w:marRight w:val="0"/>
                  <w:marTop w:val="0"/>
                  <w:marBottom w:val="86"/>
                  <w:divBdr>
                    <w:top w:val="none" w:sz="0" w:space="0" w:color="auto"/>
                    <w:left w:val="none" w:sz="0" w:space="0" w:color="auto"/>
                    <w:bottom w:val="none" w:sz="0" w:space="0" w:color="auto"/>
                    <w:right w:val="none" w:sz="0" w:space="0" w:color="auto"/>
                  </w:divBdr>
                </w:div>
                <w:div w:id="1643343788">
                  <w:marLeft w:val="2160"/>
                  <w:marRight w:val="0"/>
                  <w:marTop w:val="0"/>
                  <w:marBottom w:val="86"/>
                  <w:divBdr>
                    <w:top w:val="none" w:sz="0" w:space="0" w:color="auto"/>
                    <w:left w:val="none" w:sz="0" w:space="0" w:color="auto"/>
                    <w:bottom w:val="none" w:sz="0" w:space="0" w:color="auto"/>
                    <w:right w:val="none" w:sz="0" w:space="0" w:color="auto"/>
                  </w:divBdr>
                </w:div>
                <w:div w:id="894507841">
                  <w:marLeft w:val="2592"/>
                  <w:marRight w:val="0"/>
                  <w:marTop w:val="0"/>
                  <w:marBottom w:val="86"/>
                  <w:divBdr>
                    <w:top w:val="none" w:sz="0" w:space="0" w:color="auto"/>
                    <w:left w:val="none" w:sz="0" w:space="0" w:color="auto"/>
                    <w:bottom w:val="none" w:sz="0" w:space="0" w:color="auto"/>
                    <w:right w:val="none" w:sz="0" w:space="0" w:color="auto"/>
                  </w:divBdr>
                </w:div>
                <w:div w:id="208341733">
                  <w:marLeft w:val="2592"/>
                  <w:marRight w:val="0"/>
                  <w:marTop w:val="0"/>
                  <w:marBottom w:val="86"/>
                  <w:divBdr>
                    <w:top w:val="none" w:sz="0" w:space="0" w:color="auto"/>
                    <w:left w:val="none" w:sz="0" w:space="0" w:color="auto"/>
                    <w:bottom w:val="none" w:sz="0" w:space="0" w:color="auto"/>
                    <w:right w:val="none" w:sz="0" w:space="0" w:color="auto"/>
                  </w:divBdr>
                </w:div>
                <w:div w:id="2104185325">
                  <w:marLeft w:val="3024"/>
                  <w:marRight w:val="0"/>
                  <w:marTop w:val="0"/>
                  <w:marBottom w:val="86"/>
                  <w:divBdr>
                    <w:top w:val="none" w:sz="0" w:space="0" w:color="auto"/>
                    <w:left w:val="none" w:sz="0" w:space="0" w:color="auto"/>
                    <w:bottom w:val="none" w:sz="0" w:space="0" w:color="auto"/>
                    <w:right w:val="none" w:sz="0" w:space="0" w:color="auto"/>
                  </w:divBdr>
                </w:div>
                <w:div w:id="39793153">
                  <w:marLeft w:val="3024"/>
                  <w:marRight w:val="0"/>
                  <w:marTop w:val="0"/>
                  <w:marBottom w:val="86"/>
                  <w:divBdr>
                    <w:top w:val="none" w:sz="0" w:space="0" w:color="auto"/>
                    <w:left w:val="none" w:sz="0" w:space="0" w:color="auto"/>
                    <w:bottom w:val="none" w:sz="0" w:space="0" w:color="auto"/>
                    <w:right w:val="none" w:sz="0" w:space="0" w:color="auto"/>
                  </w:divBdr>
                </w:div>
                <w:div w:id="2007705565">
                  <w:marLeft w:val="3024"/>
                  <w:marRight w:val="0"/>
                  <w:marTop w:val="0"/>
                  <w:marBottom w:val="86"/>
                  <w:divBdr>
                    <w:top w:val="none" w:sz="0" w:space="0" w:color="auto"/>
                    <w:left w:val="none" w:sz="0" w:space="0" w:color="auto"/>
                    <w:bottom w:val="none" w:sz="0" w:space="0" w:color="auto"/>
                    <w:right w:val="none" w:sz="0" w:space="0" w:color="auto"/>
                  </w:divBdr>
                </w:div>
                <w:div w:id="1535121115">
                  <w:marLeft w:val="3024"/>
                  <w:marRight w:val="0"/>
                  <w:marTop w:val="0"/>
                  <w:marBottom w:val="101"/>
                  <w:divBdr>
                    <w:top w:val="none" w:sz="0" w:space="0" w:color="auto"/>
                    <w:left w:val="none" w:sz="0" w:space="0" w:color="auto"/>
                    <w:bottom w:val="none" w:sz="0" w:space="0" w:color="auto"/>
                    <w:right w:val="none" w:sz="0" w:space="0" w:color="auto"/>
                  </w:divBdr>
                </w:div>
                <w:div w:id="1473981515">
                  <w:marLeft w:val="1440"/>
                  <w:marRight w:val="0"/>
                  <w:marTop w:val="0"/>
                  <w:marBottom w:val="101"/>
                  <w:divBdr>
                    <w:top w:val="none" w:sz="0" w:space="0" w:color="auto"/>
                    <w:left w:val="none" w:sz="0" w:space="0" w:color="auto"/>
                    <w:bottom w:val="none" w:sz="0" w:space="0" w:color="auto"/>
                    <w:right w:val="none" w:sz="0" w:space="0" w:color="auto"/>
                  </w:divBdr>
                </w:div>
                <w:div w:id="1231426932">
                  <w:marLeft w:val="1440"/>
                  <w:marRight w:val="0"/>
                  <w:marTop w:val="0"/>
                  <w:marBottom w:val="101"/>
                  <w:divBdr>
                    <w:top w:val="none" w:sz="0" w:space="0" w:color="auto"/>
                    <w:left w:val="none" w:sz="0" w:space="0" w:color="auto"/>
                    <w:bottom w:val="none" w:sz="0" w:space="0" w:color="auto"/>
                    <w:right w:val="none" w:sz="0" w:space="0" w:color="auto"/>
                  </w:divBdr>
                </w:div>
                <w:div w:id="599530404">
                  <w:marLeft w:val="1440"/>
                  <w:marRight w:val="0"/>
                  <w:marTop w:val="0"/>
                  <w:marBottom w:val="101"/>
                  <w:divBdr>
                    <w:top w:val="none" w:sz="0" w:space="0" w:color="auto"/>
                    <w:left w:val="none" w:sz="0" w:space="0" w:color="auto"/>
                    <w:bottom w:val="none" w:sz="0" w:space="0" w:color="auto"/>
                    <w:right w:val="none" w:sz="0" w:space="0" w:color="auto"/>
                  </w:divBdr>
                </w:div>
                <w:div w:id="2016027768">
                  <w:marLeft w:val="1440"/>
                  <w:marRight w:val="0"/>
                  <w:marTop w:val="0"/>
                  <w:marBottom w:val="101"/>
                  <w:divBdr>
                    <w:top w:val="none" w:sz="0" w:space="0" w:color="auto"/>
                    <w:left w:val="none" w:sz="0" w:space="0" w:color="auto"/>
                    <w:bottom w:val="none" w:sz="0" w:space="0" w:color="auto"/>
                    <w:right w:val="none" w:sz="0" w:space="0" w:color="auto"/>
                  </w:divBdr>
                </w:div>
                <w:div w:id="756285932">
                  <w:marLeft w:val="1440"/>
                  <w:marRight w:val="0"/>
                  <w:marTop w:val="0"/>
                  <w:marBottom w:val="101"/>
                  <w:divBdr>
                    <w:top w:val="none" w:sz="0" w:space="0" w:color="auto"/>
                    <w:left w:val="none" w:sz="0" w:space="0" w:color="auto"/>
                    <w:bottom w:val="none" w:sz="0" w:space="0" w:color="auto"/>
                    <w:right w:val="none" w:sz="0" w:space="0" w:color="auto"/>
                  </w:divBdr>
                </w:div>
                <w:div w:id="1220826409">
                  <w:marLeft w:val="1440"/>
                  <w:marRight w:val="0"/>
                  <w:marTop w:val="0"/>
                  <w:marBottom w:val="101"/>
                  <w:divBdr>
                    <w:top w:val="none" w:sz="0" w:space="0" w:color="auto"/>
                    <w:left w:val="none" w:sz="0" w:space="0" w:color="auto"/>
                    <w:bottom w:val="none" w:sz="0" w:space="0" w:color="auto"/>
                    <w:right w:val="none" w:sz="0" w:space="0" w:color="auto"/>
                  </w:divBdr>
                </w:div>
                <w:div w:id="433667471">
                  <w:marLeft w:val="1440"/>
                  <w:marRight w:val="0"/>
                  <w:marTop w:val="0"/>
                  <w:marBottom w:val="101"/>
                  <w:divBdr>
                    <w:top w:val="none" w:sz="0" w:space="0" w:color="auto"/>
                    <w:left w:val="none" w:sz="0" w:space="0" w:color="auto"/>
                    <w:bottom w:val="none" w:sz="0" w:space="0" w:color="auto"/>
                    <w:right w:val="none" w:sz="0" w:space="0" w:color="auto"/>
                  </w:divBdr>
                </w:div>
                <w:div w:id="504899112">
                  <w:marLeft w:val="2160"/>
                  <w:marRight w:val="0"/>
                  <w:marTop w:val="0"/>
                  <w:marBottom w:val="101"/>
                  <w:divBdr>
                    <w:top w:val="none" w:sz="0" w:space="0" w:color="auto"/>
                    <w:left w:val="none" w:sz="0" w:space="0" w:color="auto"/>
                    <w:bottom w:val="none" w:sz="0" w:space="0" w:color="auto"/>
                    <w:right w:val="none" w:sz="0" w:space="0" w:color="auto"/>
                  </w:divBdr>
                </w:div>
                <w:div w:id="1482115440">
                  <w:marLeft w:val="2592"/>
                  <w:marRight w:val="0"/>
                  <w:marTop w:val="0"/>
                  <w:marBottom w:val="101"/>
                  <w:divBdr>
                    <w:top w:val="none" w:sz="0" w:space="0" w:color="auto"/>
                    <w:left w:val="none" w:sz="0" w:space="0" w:color="auto"/>
                    <w:bottom w:val="none" w:sz="0" w:space="0" w:color="auto"/>
                    <w:right w:val="none" w:sz="0" w:space="0" w:color="auto"/>
                  </w:divBdr>
                </w:div>
                <w:div w:id="1793746395">
                  <w:marLeft w:val="2592"/>
                  <w:marRight w:val="0"/>
                  <w:marTop w:val="0"/>
                  <w:marBottom w:val="101"/>
                  <w:divBdr>
                    <w:top w:val="none" w:sz="0" w:space="0" w:color="auto"/>
                    <w:left w:val="none" w:sz="0" w:space="0" w:color="auto"/>
                    <w:bottom w:val="none" w:sz="0" w:space="0" w:color="auto"/>
                    <w:right w:val="none" w:sz="0" w:space="0" w:color="auto"/>
                  </w:divBdr>
                </w:div>
                <w:div w:id="559903815">
                  <w:marLeft w:val="2592"/>
                  <w:marRight w:val="0"/>
                  <w:marTop w:val="0"/>
                  <w:marBottom w:val="101"/>
                  <w:divBdr>
                    <w:top w:val="none" w:sz="0" w:space="0" w:color="auto"/>
                    <w:left w:val="none" w:sz="0" w:space="0" w:color="auto"/>
                    <w:bottom w:val="none" w:sz="0" w:space="0" w:color="auto"/>
                    <w:right w:val="none" w:sz="0" w:space="0" w:color="auto"/>
                  </w:divBdr>
                </w:div>
                <w:div w:id="1692098295">
                  <w:marLeft w:val="2592"/>
                  <w:marRight w:val="0"/>
                  <w:marTop w:val="0"/>
                  <w:marBottom w:val="101"/>
                  <w:divBdr>
                    <w:top w:val="none" w:sz="0" w:space="0" w:color="auto"/>
                    <w:left w:val="none" w:sz="0" w:space="0" w:color="auto"/>
                    <w:bottom w:val="none" w:sz="0" w:space="0" w:color="auto"/>
                    <w:right w:val="none" w:sz="0" w:space="0" w:color="auto"/>
                  </w:divBdr>
                </w:div>
                <w:div w:id="1224636491">
                  <w:marLeft w:val="2592"/>
                  <w:marRight w:val="0"/>
                  <w:marTop w:val="0"/>
                  <w:marBottom w:val="101"/>
                  <w:divBdr>
                    <w:top w:val="none" w:sz="0" w:space="0" w:color="auto"/>
                    <w:left w:val="none" w:sz="0" w:space="0" w:color="auto"/>
                    <w:bottom w:val="none" w:sz="0" w:space="0" w:color="auto"/>
                    <w:right w:val="none" w:sz="0" w:space="0" w:color="auto"/>
                  </w:divBdr>
                </w:div>
                <w:div w:id="2013755145">
                  <w:marLeft w:val="2592"/>
                  <w:marRight w:val="0"/>
                  <w:marTop w:val="0"/>
                  <w:marBottom w:val="101"/>
                  <w:divBdr>
                    <w:top w:val="none" w:sz="0" w:space="0" w:color="auto"/>
                    <w:left w:val="none" w:sz="0" w:space="0" w:color="auto"/>
                    <w:bottom w:val="none" w:sz="0" w:space="0" w:color="auto"/>
                    <w:right w:val="none" w:sz="0" w:space="0" w:color="auto"/>
                  </w:divBdr>
                </w:div>
                <w:div w:id="793449489">
                  <w:marLeft w:val="2592"/>
                  <w:marRight w:val="0"/>
                  <w:marTop w:val="0"/>
                  <w:marBottom w:val="101"/>
                  <w:divBdr>
                    <w:top w:val="none" w:sz="0" w:space="0" w:color="auto"/>
                    <w:left w:val="none" w:sz="0" w:space="0" w:color="auto"/>
                    <w:bottom w:val="none" w:sz="0" w:space="0" w:color="auto"/>
                    <w:right w:val="none" w:sz="0" w:space="0" w:color="auto"/>
                  </w:divBdr>
                </w:div>
                <w:div w:id="1709407294">
                  <w:marLeft w:val="2592"/>
                  <w:marRight w:val="0"/>
                  <w:marTop w:val="0"/>
                  <w:marBottom w:val="101"/>
                  <w:divBdr>
                    <w:top w:val="none" w:sz="0" w:space="0" w:color="auto"/>
                    <w:left w:val="none" w:sz="0" w:space="0" w:color="auto"/>
                    <w:bottom w:val="none" w:sz="0" w:space="0" w:color="auto"/>
                    <w:right w:val="none" w:sz="0" w:space="0" w:color="auto"/>
                  </w:divBdr>
                </w:div>
                <w:div w:id="2038045231">
                  <w:marLeft w:val="2160"/>
                  <w:marRight w:val="0"/>
                  <w:marTop w:val="0"/>
                  <w:marBottom w:val="101"/>
                  <w:divBdr>
                    <w:top w:val="none" w:sz="0" w:space="0" w:color="auto"/>
                    <w:left w:val="none" w:sz="0" w:space="0" w:color="auto"/>
                    <w:bottom w:val="none" w:sz="0" w:space="0" w:color="auto"/>
                    <w:right w:val="none" w:sz="0" w:space="0" w:color="auto"/>
                  </w:divBdr>
                </w:div>
                <w:div w:id="300767370">
                  <w:marLeft w:val="2160"/>
                  <w:marRight w:val="0"/>
                  <w:marTop w:val="0"/>
                  <w:marBottom w:val="101"/>
                  <w:divBdr>
                    <w:top w:val="none" w:sz="0" w:space="0" w:color="auto"/>
                    <w:left w:val="none" w:sz="0" w:space="0" w:color="auto"/>
                    <w:bottom w:val="none" w:sz="0" w:space="0" w:color="auto"/>
                    <w:right w:val="none" w:sz="0" w:space="0" w:color="auto"/>
                  </w:divBdr>
                </w:div>
                <w:div w:id="906888992">
                  <w:marLeft w:val="2592"/>
                  <w:marRight w:val="0"/>
                  <w:marTop w:val="0"/>
                  <w:marBottom w:val="101"/>
                  <w:divBdr>
                    <w:top w:val="none" w:sz="0" w:space="0" w:color="auto"/>
                    <w:left w:val="none" w:sz="0" w:space="0" w:color="auto"/>
                    <w:bottom w:val="none" w:sz="0" w:space="0" w:color="auto"/>
                    <w:right w:val="none" w:sz="0" w:space="0" w:color="auto"/>
                  </w:divBdr>
                </w:div>
                <w:div w:id="1803813083">
                  <w:marLeft w:val="2592"/>
                  <w:marRight w:val="0"/>
                  <w:marTop w:val="0"/>
                  <w:marBottom w:val="101"/>
                  <w:divBdr>
                    <w:top w:val="none" w:sz="0" w:space="0" w:color="auto"/>
                    <w:left w:val="none" w:sz="0" w:space="0" w:color="auto"/>
                    <w:bottom w:val="none" w:sz="0" w:space="0" w:color="auto"/>
                    <w:right w:val="none" w:sz="0" w:space="0" w:color="auto"/>
                  </w:divBdr>
                </w:div>
                <w:div w:id="1616019302">
                  <w:marLeft w:val="2160"/>
                  <w:marRight w:val="0"/>
                  <w:marTop w:val="0"/>
                  <w:marBottom w:val="101"/>
                  <w:divBdr>
                    <w:top w:val="none" w:sz="0" w:space="0" w:color="auto"/>
                    <w:left w:val="none" w:sz="0" w:space="0" w:color="auto"/>
                    <w:bottom w:val="none" w:sz="0" w:space="0" w:color="auto"/>
                    <w:right w:val="none" w:sz="0" w:space="0" w:color="auto"/>
                  </w:divBdr>
                </w:div>
                <w:div w:id="414937028">
                  <w:marLeft w:val="2160"/>
                  <w:marRight w:val="0"/>
                  <w:marTop w:val="0"/>
                  <w:marBottom w:val="101"/>
                  <w:divBdr>
                    <w:top w:val="none" w:sz="0" w:space="0" w:color="auto"/>
                    <w:left w:val="none" w:sz="0" w:space="0" w:color="auto"/>
                    <w:bottom w:val="none" w:sz="0" w:space="0" w:color="auto"/>
                    <w:right w:val="none" w:sz="0" w:space="0" w:color="auto"/>
                  </w:divBdr>
                </w:div>
                <w:div w:id="1310600229">
                  <w:marLeft w:val="2160"/>
                  <w:marRight w:val="0"/>
                  <w:marTop w:val="0"/>
                  <w:marBottom w:val="101"/>
                  <w:divBdr>
                    <w:top w:val="none" w:sz="0" w:space="0" w:color="auto"/>
                    <w:left w:val="none" w:sz="0" w:space="0" w:color="auto"/>
                    <w:bottom w:val="none" w:sz="0" w:space="0" w:color="auto"/>
                    <w:right w:val="none" w:sz="0" w:space="0" w:color="auto"/>
                  </w:divBdr>
                </w:div>
                <w:div w:id="633557859">
                  <w:marLeft w:val="1440"/>
                  <w:marRight w:val="0"/>
                  <w:marTop w:val="0"/>
                  <w:marBottom w:val="101"/>
                  <w:divBdr>
                    <w:top w:val="none" w:sz="0" w:space="0" w:color="auto"/>
                    <w:left w:val="none" w:sz="0" w:space="0" w:color="auto"/>
                    <w:bottom w:val="none" w:sz="0" w:space="0" w:color="auto"/>
                    <w:right w:val="none" w:sz="0" w:space="0" w:color="auto"/>
                  </w:divBdr>
                </w:div>
                <w:div w:id="678046271">
                  <w:marLeft w:val="1440"/>
                  <w:marRight w:val="0"/>
                  <w:marTop w:val="0"/>
                  <w:marBottom w:val="101"/>
                  <w:divBdr>
                    <w:top w:val="none" w:sz="0" w:space="0" w:color="auto"/>
                    <w:left w:val="none" w:sz="0" w:space="0" w:color="auto"/>
                    <w:bottom w:val="none" w:sz="0" w:space="0" w:color="auto"/>
                    <w:right w:val="none" w:sz="0" w:space="0" w:color="auto"/>
                  </w:divBdr>
                </w:div>
                <w:div w:id="1377656633">
                  <w:marLeft w:val="1440"/>
                  <w:marRight w:val="0"/>
                  <w:marTop w:val="0"/>
                  <w:marBottom w:val="101"/>
                  <w:divBdr>
                    <w:top w:val="none" w:sz="0" w:space="0" w:color="auto"/>
                    <w:left w:val="none" w:sz="0" w:space="0" w:color="auto"/>
                    <w:bottom w:val="none" w:sz="0" w:space="0" w:color="auto"/>
                    <w:right w:val="none" w:sz="0" w:space="0" w:color="auto"/>
                  </w:divBdr>
                </w:div>
                <w:div w:id="1092774922">
                  <w:marLeft w:val="1440"/>
                  <w:marRight w:val="0"/>
                  <w:marTop w:val="0"/>
                  <w:marBottom w:val="101"/>
                  <w:divBdr>
                    <w:top w:val="none" w:sz="0" w:space="0" w:color="auto"/>
                    <w:left w:val="none" w:sz="0" w:space="0" w:color="auto"/>
                    <w:bottom w:val="none" w:sz="0" w:space="0" w:color="auto"/>
                    <w:right w:val="none" w:sz="0" w:space="0" w:color="auto"/>
                  </w:divBdr>
                </w:div>
                <w:div w:id="1797681139">
                  <w:marLeft w:val="1440"/>
                  <w:marRight w:val="0"/>
                  <w:marTop w:val="0"/>
                  <w:marBottom w:val="101"/>
                  <w:divBdr>
                    <w:top w:val="none" w:sz="0" w:space="0" w:color="auto"/>
                    <w:left w:val="none" w:sz="0" w:space="0" w:color="auto"/>
                    <w:bottom w:val="none" w:sz="0" w:space="0" w:color="auto"/>
                    <w:right w:val="none" w:sz="0" w:space="0" w:color="auto"/>
                  </w:divBdr>
                </w:div>
                <w:div w:id="1601110845">
                  <w:marLeft w:val="1440"/>
                  <w:marRight w:val="0"/>
                  <w:marTop w:val="0"/>
                  <w:marBottom w:val="101"/>
                  <w:divBdr>
                    <w:top w:val="none" w:sz="0" w:space="0" w:color="auto"/>
                    <w:left w:val="none" w:sz="0" w:space="0" w:color="auto"/>
                    <w:bottom w:val="none" w:sz="0" w:space="0" w:color="auto"/>
                    <w:right w:val="none" w:sz="0" w:space="0" w:color="auto"/>
                  </w:divBdr>
                </w:div>
                <w:div w:id="1137138331">
                  <w:marLeft w:val="1440"/>
                  <w:marRight w:val="0"/>
                  <w:marTop w:val="0"/>
                  <w:marBottom w:val="101"/>
                  <w:divBdr>
                    <w:top w:val="none" w:sz="0" w:space="0" w:color="auto"/>
                    <w:left w:val="none" w:sz="0" w:space="0" w:color="auto"/>
                    <w:bottom w:val="none" w:sz="0" w:space="0" w:color="auto"/>
                    <w:right w:val="none" w:sz="0" w:space="0" w:color="auto"/>
                  </w:divBdr>
                </w:div>
                <w:div w:id="257447630">
                  <w:marLeft w:val="1440"/>
                  <w:marRight w:val="0"/>
                  <w:marTop w:val="0"/>
                  <w:marBottom w:val="101"/>
                  <w:divBdr>
                    <w:top w:val="none" w:sz="0" w:space="0" w:color="auto"/>
                    <w:left w:val="none" w:sz="0" w:space="0" w:color="auto"/>
                    <w:bottom w:val="none" w:sz="0" w:space="0" w:color="auto"/>
                    <w:right w:val="none" w:sz="0" w:space="0" w:color="auto"/>
                  </w:divBdr>
                </w:div>
                <w:div w:id="1300108670">
                  <w:marLeft w:val="1440"/>
                  <w:marRight w:val="0"/>
                  <w:marTop w:val="0"/>
                  <w:marBottom w:val="101"/>
                  <w:divBdr>
                    <w:top w:val="none" w:sz="0" w:space="0" w:color="auto"/>
                    <w:left w:val="none" w:sz="0" w:space="0" w:color="auto"/>
                    <w:bottom w:val="none" w:sz="0" w:space="0" w:color="auto"/>
                    <w:right w:val="none" w:sz="0" w:space="0" w:color="auto"/>
                  </w:divBdr>
                </w:div>
                <w:div w:id="151602183">
                  <w:marLeft w:val="1440"/>
                  <w:marRight w:val="0"/>
                  <w:marTop w:val="0"/>
                  <w:marBottom w:val="101"/>
                  <w:divBdr>
                    <w:top w:val="none" w:sz="0" w:space="0" w:color="auto"/>
                    <w:left w:val="none" w:sz="0" w:space="0" w:color="auto"/>
                    <w:bottom w:val="none" w:sz="0" w:space="0" w:color="auto"/>
                    <w:right w:val="none" w:sz="0" w:space="0" w:color="auto"/>
                  </w:divBdr>
                </w:div>
                <w:div w:id="1780025232">
                  <w:marLeft w:val="1440"/>
                  <w:marRight w:val="0"/>
                  <w:marTop w:val="0"/>
                  <w:marBottom w:val="101"/>
                  <w:divBdr>
                    <w:top w:val="none" w:sz="0" w:space="0" w:color="auto"/>
                    <w:left w:val="none" w:sz="0" w:space="0" w:color="auto"/>
                    <w:bottom w:val="none" w:sz="0" w:space="0" w:color="auto"/>
                    <w:right w:val="none" w:sz="0" w:space="0" w:color="auto"/>
                  </w:divBdr>
                </w:div>
                <w:div w:id="521170448">
                  <w:marLeft w:val="1440"/>
                  <w:marRight w:val="0"/>
                  <w:marTop w:val="0"/>
                  <w:marBottom w:val="101"/>
                  <w:divBdr>
                    <w:top w:val="none" w:sz="0" w:space="0" w:color="auto"/>
                    <w:left w:val="none" w:sz="0" w:space="0" w:color="auto"/>
                    <w:bottom w:val="none" w:sz="0" w:space="0" w:color="auto"/>
                    <w:right w:val="none" w:sz="0" w:space="0" w:color="auto"/>
                  </w:divBdr>
                </w:div>
                <w:div w:id="294265030">
                  <w:marLeft w:val="1440"/>
                  <w:marRight w:val="0"/>
                  <w:marTop w:val="0"/>
                  <w:marBottom w:val="101"/>
                  <w:divBdr>
                    <w:top w:val="none" w:sz="0" w:space="0" w:color="auto"/>
                    <w:left w:val="none" w:sz="0" w:space="0" w:color="auto"/>
                    <w:bottom w:val="none" w:sz="0" w:space="0" w:color="auto"/>
                    <w:right w:val="none" w:sz="0" w:space="0" w:color="auto"/>
                  </w:divBdr>
                </w:div>
                <w:div w:id="1486389243">
                  <w:marLeft w:val="1440"/>
                  <w:marRight w:val="0"/>
                  <w:marTop w:val="0"/>
                  <w:marBottom w:val="101"/>
                  <w:divBdr>
                    <w:top w:val="none" w:sz="0" w:space="0" w:color="auto"/>
                    <w:left w:val="none" w:sz="0" w:space="0" w:color="auto"/>
                    <w:bottom w:val="none" w:sz="0" w:space="0" w:color="auto"/>
                    <w:right w:val="none" w:sz="0" w:space="0" w:color="auto"/>
                  </w:divBdr>
                </w:div>
                <w:div w:id="1937252684">
                  <w:marLeft w:val="1440"/>
                  <w:marRight w:val="0"/>
                  <w:marTop w:val="0"/>
                  <w:marBottom w:val="101"/>
                  <w:divBdr>
                    <w:top w:val="none" w:sz="0" w:space="0" w:color="auto"/>
                    <w:left w:val="none" w:sz="0" w:space="0" w:color="auto"/>
                    <w:bottom w:val="none" w:sz="0" w:space="0" w:color="auto"/>
                    <w:right w:val="none" w:sz="0" w:space="0" w:color="auto"/>
                  </w:divBdr>
                </w:div>
                <w:div w:id="4286403">
                  <w:marLeft w:val="1440"/>
                  <w:marRight w:val="0"/>
                  <w:marTop w:val="0"/>
                  <w:marBottom w:val="101"/>
                  <w:divBdr>
                    <w:top w:val="none" w:sz="0" w:space="0" w:color="auto"/>
                    <w:left w:val="none" w:sz="0" w:space="0" w:color="auto"/>
                    <w:bottom w:val="none" w:sz="0" w:space="0" w:color="auto"/>
                    <w:right w:val="none" w:sz="0" w:space="0" w:color="auto"/>
                  </w:divBdr>
                </w:div>
                <w:div w:id="1160076610">
                  <w:marLeft w:val="1440"/>
                  <w:marRight w:val="0"/>
                  <w:marTop w:val="0"/>
                  <w:marBottom w:val="101"/>
                  <w:divBdr>
                    <w:top w:val="none" w:sz="0" w:space="0" w:color="auto"/>
                    <w:left w:val="none" w:sz="0" w:space="0" w:color="auto"/>
                    <w:bottom w:val="none" w:sz="0" w:space="0" w:color="auto"/>
                    <w:right w:val="none" w:sz="0" w:space="0" w:color="auto"/>
                  </w:divBdr>
                </w:div>
                <w:div w:id="1466702319">
                  <w:marLeft w:val="1440"/>
                  <w:marRight w:val="0"/>
                  <w:marTop w:val="0"/>
                  <w:marBottom w:val="74"/>
                  <w:divBdr>
                    <w:top w:val="none" w:sz="0" w:space="0" w:color="auto"/>
                    <w:left w:val="none" w:sz="0" w:space="0" w:color="auto"/>
                    <w:bottom w:val="none" w:sz="0" w:space="0" w:color="auto"/>
                    <w:right w:val="none" w:sz="0" w:space="0" w:color="auto"/>
                  </w:divBdr>
                </w:div>
                <w:div w:id="1902520695">
                  <w:marLeft w:val="1440"/>
                  <w:marRight w:val="0"/>
                  <w:marTop w:val="0"/>
                  <w:marBottom w:val="74"/>
                  <w:divBdr>
                    <w:top w:val="none" w:sz="0" w:space="0" w:color="auto"/>
                    <w:left w:val="none" w:sz="0" w:space="0" w:color="auto"/>
                    <w:bottom w:val="none" w:sz="0" w:space="0" w:color="auto"/>
                    <w:right w:val="none" w:sz="0" w:space="0" w:color="auto"/>
                  </w:divBdr>
                </w:div>
                <w:div w:id="1250968473">
                  <w:marLeft w:val="1440"/>
                  <w:marRight w:val="0"/>
                  <w:marTop w:val="0"/>
                  <w:marBottom w:val="74"/>
                  <w:divBdr>
                    <w:top w:val="none" w:sz="0" w:space="0" w:color="auto"/>
                    <w:left w:val="none" w:sz="0" w:space="0" w:color="auto"/>
                    <w:bottom w:val="none" w:sz="0" w:space="0" w:color="auto"/>
                    <w:right w:val="none" w:sz="0" w:space="0" w:color="auto"/>
                  </w:divBdr>
                </w:div>
                <w:div w:id="1915815723">
                  <w:marLeft w:val="2160"/>
                  <w:marRight w:val="0"/>
                  <w:marTop w:val="0"/>
                  <w:marBottom w:val="74"/>
                  <w:divBdr>
                    <w:top w:val="none" w:sz="0" w:space="0" w:color="auto"/>
                    <w:left w:val="none" w:sz="0" w:space="0" w:color="auto"/>
                    <w:bottom w:val="none" w:sz="0" w:space="0" w:color="auto"/>
                    <w:right w:val="none" w:sz="0" w:space="0" w:color="auto"/>
                  </w:divBdr>
                </w:div>
                <w:div w:id="2065329040">
                  <w:marLeft w:val="2160"/>
                  <w:marRight w:val="0"/>
                  <w:marTop w:val="0"/>
                  <w:marBottom w:val="74"/>
                  <w:divBdr>
                    <w:top w:val="none" w:sz="0" w:space="0" w:color="auto"/>
                    <w:left w:val="none" w:sz="0" w:space="0" w:color="auto"/>
                    <w:bottom w:val="none" w:sz="0" w:space="0" w:color="auto"/>
                    <w:right w:val="none" w:sz="0" w:space="0" w:color="auto"/>
                  </w:divBdr>
                </w:div>
                <w:div w:id="459881011">
                  <w:marLeft w:val="2160"/>
                  <w:marRight w:val="0"/>
                  <w:marTop w:val="0"/>
                  <w:marBottom w:val="74"/>
                  <w:divBdr>
                    <w:top w:val="none" w:sz="0" w:space="0" w:color="auto"/>
                    <w:left w:val="none" w:sz="0" w:space="0" w:color="auto"/>
                    <w:bottom w:val="none" w:sz="0" w:space="0" w:color="auto"/>
                    <w:right w:val="none" w:sz="0" w:space="0" w:color="auto"/>
                  </w:divBdr>
                </w:div>
                <w:div w:id="1297032098">
                  <w:marLeft w:val="2160"/>
                  <w:marRight w:val="0"/>
                  <w:marTop w:val="0"/>
                  <w:marBottom w:val="74"/>
                  <w:divBdr>
                    <w:top w:val="none" w:sz="0" w:space="0" w:color="auto"/>
                    <w:left w:val="none" w:sz="0" w:space="0" w:color="auto"/>
                    <w:bottom w:val="none" w:sz="0" w:space="0" w:color="auto"/>
                    <w:right w:val="none" w:sz="0" w:space="0" w:color="auto"/>
                  </w:divBdr>
                </w:div>
                <w:div w:id="219289576">
                  <w:marLeft w:val="1440"/>
                  <w:marRight w:val="0"/>
                  <w:marTop w:val="0"/>
                  <w:marBottom w:val="74"/>
                  <w:divBdr>
                    <w:top w:val="none" w:sz="0" w:space="0" w:color="auto"/>
                    <w:left w:val="none" w:sz="0" w:space="0" w:color="auto"/>
                    <w:bottom w:val="none" w:sz="0" w:space="0" w:color="auto"/>
                    <w:right w:val="none" w:sz="0" w:space="0" w:color="auto"/>
                  </w:divBdr>
                </w:div>
                <w:div w:id="816842293">
                  <w:marLeft w:val="1440"/>
                  <w:marRight w:val="0"/>
                  <w:marTop w:val="0"/>
                  <w:marBottom w:val="74"/>
                  <w:divBdr>
                    <w:top w:val="none" w:sz="0" w:space="0" w:color="auto"/>
                    <w:left w:val="none" w:sz="0" w:space="0" w:color="auto"/>
                    <w:bottom w:val="none" w:sz="0" w:space="0" w:color="auto"/>
                    <w:right w:val="none" w:sz="0" w:space="0" w:color="auto"/>
                  </w:divBdr>
                </w:div>
                <w:div w:id="653678979">
                  <w:marLeft w:val="1440"/>
                  <w:marRight w:val="0"/>
                  <w:marTop w:val="0"/>
                  <w:marBottom w:val="74"/>
                  <w:divBdr>
                    <w:top w:val="none" w:sz="0" w:space="0" w:color="auto"/>
                    <w:left w:val="none" w:sz="0" w:space="0" w:color="auto"/>
                    <w:bottom w:val="none" w:sz="0" w:space="0" w:color="auto"/>
                    <w:right w:val="none" w:sz="0" w:space="0" w:color="auto"/>
                  </w:divBdr>
                </w:div>
                <w:div w:id="461733593">
                  <w:marLeft w:val="1440"/>
                  <w:marRight w:val="0"/>
                  <w:marTop w:val="0"/>
                  <w:marBottom w:val="74"/>
                  <w:divBdr>
                    <w:top w:val="none" w:sz="0" w:space="0" w:color="auto"/>
                    <w:left w:val="none" w:sz="0" w:space="0" w:color="auto"/>
                    <w:bottom w:val="none" w:sz="0" w:space="0" w:color="auto"/>
                    <w:right w:val="none" w:sz="0" w:space="0" w:color="auto"/>
                  </w:divBdr>
                </w:div>
                <w:div w:id="182476412">
                  <w:marLeft w:val="2160"/>
                  <w:marRight w:val="0"/>
                  <w:marTop w:val="0"/>
                  <w:marBottom w:val="74"/>
                  <w:divBdr>
                    <w:top w:val="none" w:sz="0" w:space="0" w:color="auto"/>
                    <w:left w:val="none" w:sz="0" w:space="0" w:color="auto"/>
                    <w:bottom w:val="none" w:sz="0" w:space="0" w:color="auto"/>
                    <w:right w:val="none" w:sz="0" w:space="0" w:color="auto"/>
                  </w:divBdr>
                </w:div>
                <w:div w:id="1823959804">
                  <w:marLeft w:val="2592"/>
                  <w:marRight w:val="0"/>
                  <w:marTop w:val="0"/>
                  <w:marBottom w:val="74"/>
                  <w:divBdr>
                    <w:top w:val="none" w:sz="0" w:space="0" w:color="auto"/>
                    <w:left w:val="none" w:sz="0" w:space="0" w:color="auto"/>
                    <w:bottom w:val="none" w:sz="0" w:space="0" w:color="auto"/>
                    <w:right w:val="none" w:sz="0" w:space="0" w:color="auto"/>
                  </w:divBdr>
                </w:div>
                <w:div w:id="1588416589">
                  <w:marLeft w:val="2592"/>
                  <w:marRight w:val="0"/>
                  <w:marTop w:val="0"/>
                  <w:marBottom w:val="74"/>
                  <w:divBdr>
                    <w:top w:val="none" w:sz="0" w:space="0" w:color="auto"/>
                    <w:left w:val="none" w:sz="0" w:space="0" w:color="auto"/>
                    <w:bottom w:val="none" w:sz="0" w:space="0" w:color="auto"/>
                    <w:right w:val="none" w:sz="0" w:space="0" w:color="auto"/>
                  </w:divBdr>
                </w:div>
                <w:div w:id="1214611122">
                  <w:marLeft w:val="2592"/>
                  <w:marRight w:val="0"/>
                  <w:marTop w:val="0"/>
                  <w:marBottom w:val="74"/>
                  <w:divBdr>
                    <w:top w:val="none" w:sz="0" w:space="0" w:color="auto"/>
                    <w:left w:val="none" w:sz="0" w:space="0" w:color="auto"/>
                    <w:bottom w:val="none" w:sz="0" w:space="0" w:color="auto"/>
                    <w:right w:val="none" w:sz="0" w:space="0" w:color="auto"/>
                  </w:divBdr>
                </w:div>
                <w:div w:id="651249526">
                  <w:marLeft w:val="2160"/>
                  <w:marRight w:val="0"/>
                  <w:marTop w:val="0"/>
                  <w:marBottom w:val="74"/>
                  <w:divBdr>
                    <w:top w:val="none" w:sz="0" w:space="0" w:color="auto"/>
                    <w:left w:val="none" w:sz="0" w:space="0" w:color="auto"/>
                    <w:bottom w:val="none" w:sz="0" w:space="0" w:color="auto"/>
                    <w:right w:val="none" w:sz="0" w:space="0" w:color="auto"/>
                  </w:divBdr>
                </w:div>
                <w:div w:id="306472719">
                  <w:marLeft w:val="2160"/>
                  <w:marRight w:val="0"/>
                  <w:marTop w:val="0"/>
                  <w:marBottom w:val="74"/>
                  <w:divBdr>
                    <w:top w:val="none" w:sz="0" w:space="0" w:color="auto"/>
                    <w:left w:val="none" w:sz="0" w:space="0" w:color="auto"/>
                    <w:bottom w:val="none" w:sz="0" w:space="0" w:color="auto"/>
                    <w:right w:val="none" w:sz="0" w:space="0" w:color="auto"/>
                  </w:divBdr>
                </w:div>
                <w:div w:id="1429890689">
                  <w:marLeft w:val="1440"/>
                  <w:marRight w:val="0"/>
                  <w:marTop w:val="0"/>
                  <w:marBottom w:val="74"/>
                  <w:divBdr>
                    <w:top w:val="none" w:sz="0" w:space="0" w:color="auto"/>
                    <w:left w:val="none" w:sz="0" w:space="0" w:color="auto"/>
                    <w:bottom w:val="none" w:sz="0" w:space="0" w:color="auto"/>
                    <w:right w:val="none" w:sz="0" w:space="0" w:color="auto"/>
                  </w:divBdr>
                </w:div>
                <w:div w:id="318308556">
                  <w:marLeft w:val="1440"/>
                  <w:marRight w:val="0"/>
                  <w:marTop w:val="0"/>
                  <w:marBottom w:val="74"/>
                  <w:divBdr>
                    <w:top w:val="none" w:sz="0" w:space="0" w:color="auto"/>
                    <w:left w:val="none" w:sz="0" w:space="0" w:color="auto"/>
                    <w:bottom w:val="none" w:sz="0" w:space="0" w:color="auto"/>
                    <w:right w:val="none" w:sz="0" w:space="0" w:color="auto"/>
                  </w:divBdr>
                </w:div>
                <w:div w:id="364601422">
                  <w:marLeft w:val="1440"/>
                  <w:marRight w:val="0"/>
                  <w:marTop w:val="0"/>
                  <w:marBottom w:val="74"/>
                  <w:divBdr>
                    <w:top w:val="none" w:sz="0" w:space="0" w:color="auto"/>
                    <w:left w:val="none" w:sz="0" w:space="0" w:color="auto"/>
                    <w:bottom w:val="none" w:sz="0" w:space="0" w:color="auto"/>
                    <w:right w:val="none" w:sz="0" w:space="0" w:color="auto"/>
                  </w:divBdr>
                </w:div>
                <w:div w:id="1142044212">
                  <w:marLeft w:val="2160"/>
                  <w:marRight w:val="0"/>
                  <w:marTop w:val="0"/>
                  <w:marBottom w:val="74"/>
                  <w:divBdr>
                    <w:top w:val="none" w:sz="0" w:space="0" w:color="auto"/>
                    <w:left w:val="none" w:sz="0" w:space="0" w:color="auto"/>
                    <w:bottom w:val="none" w:sz="0" w:space="0" w:color="auto"/>
                    <w:right w:val="none" w:sz="0" w:space="0" w:color="auto"/>
                  </w:divBdr>
                </w:div>
                <w:div w:id="1968195513">
                  <w:marLeft w:val="2592"/>
                  <w:marRight w:val="0"/>
                  <w:marTop w:val="0"/>
                  <w:marBottom w:val="74"/>
                  <w:divBdr>
                    <w:top w:val="none" w:sz="0" w:space="0" w:color="auto"/>
                    <w:left w:val="none" w:sz="0" w:space="0" w:color="auto"/>
                    <w:bottom w:val="none" w:sz="0" w:space="0" w:color="auto"/>
                    <w:right w:val="none" w:sz="0" w:space="0" w:color="auto"/>
                  </w:divBdr>
                </w:div>
                <w:div w:id="439684416">
                  <w:marLeft w:val="2592"/>
                  <w:marRight w:val="0"/>
                  <w:marTop w:val="0"/>
                  <w:marBottom w:val="101"/>
                  <w:divBdr>
                    <w:top w:val="none" w:sz="0" w:space="0" w:color="auto"/>
                    <w:left w:val="none" w:sz="0" w:space="0" w:color="auto"/>
                    <w:bottom w:val="none" w:sz="0" w:space="0" w:color="auto"/>
                    <w:right w:val="none" w:sz="0" w:space="0" w:color="auto"/>
                  </w:divBdr>
                </w:div>
                <w:div w:id="1576473865">
                  <w:marLeft w:val="2592"/>
                  <w:marRight w:val="0"/>
                  <w:marTop w:val="0"/>
                  <w:marBottom w:val="101"/>
                  <w:divBdr>
                    <w:top w:val="none" w:sz="0" w:space="0" w:color="auto"/>
                    <w:left w:val="none" w:sz="0" w:space="0" w:color="auto"/>
                    <w:bottom w:val="none" w:sz="0" w:space="0" w:color="auto"/>
                    <w:right w:val="none" w:sz="0" w:space="0" w:color="auto"/>
                  </w:divBdr>
                </w:div>
                <w:div w:id="277180004">
                  <w:marLeft w:val="2592"/>
                  <w:marRight w:val="0"/>
                  <w:marTop w:val="0"/>
                  <w:marBottom w:val="101"/>
                  <w:divBdr>
                    <w:top w:val="none" w:sz="0" w:space="0" w:color="auto"/>
                    <w:left w:val="none" w:sz="0" w:space="0" w:color="auto"/>
                    <w:bottom w:val="none" w:sz="0" w:space="0" w:color="auto"/>
                    <w:right w:val="none" w:sz="0" w:space="0" w:color="auto"/>
                  </w:divBdr>
                </w:div>
                <w:div w:id="491679691">
                  <w:marLeft w:val="2592"/>
                  <w:marRight w:val="0"/>
                  <w:marTop w:val="0"/>
                  <w:marBottom w:val="101"/>
                  <w:divBdr>
                    <w:top w:val="none" w:sz="0" w:space="0" w:color="auto"/>
                    <w:left w:val="none" w:sz="0" w:space="0" w:color="auto"/>
                    <w:bottom w:val="none" w:sz="0" w:space="0" w:color="auto"/>
                    <w:right w:val="none" w:sz="0" w:space="0" w:color="auto"/>
                  </w:divBdr>
                </w:div>
                <w:div w:id="1987318877">
                  <w:marLeft w:val="2592"/>
                  <w:marRight w:val="0"/>
                  <w:marTop w:val="0"/>
                  <w:marBottom w:val="101"/>
                  <w:divBdr>
                    <w:top w:val="none" w:sz="0" w:space="0" w:color="auto"/>
                    <w:left w:val="none" w:sz="0" w:space="0" w:color="auto"/>
                    <w:bottom w:val="none" w:sz="0" w:space="0" w:color="auto"/>
                    <w:right w:val="none" w:sz="0" w:space="0" w:color="auto"/>
                  </w:divBdr>
                </w:div>
                <w:div w:id="1009872927">
                  <w:marLeft w:val="2160"/>
                  <w:marRight w:val="0"/>
                  <w:marTop w:val="0"/>
                  <w:marBottom w:val="101"/>
                  <w:divBdr>
                    <w:top w:val="none" w:sz="0" w:space="0" w:color="auto"/>
                    <w:left w:val="none" w:sz="0" w:space="0" w:color="auto"/>
                    <w:bottom w:val="none" w:sz="0" w:space="0" w:color="auto"/>
                    <w:right w:val="none" w:sz="0" w:space="0" w:color="auto"/>
                  </w:divBdr>
                </w:div>
                <w:div w:id="104809568">
                  <w:marLeft w:val="2592"/>
                  <w:marRight w:val="0"/>
                  <w:marTop w:val="0"/>
                  <w:marBottom w:val="101"/>
                  <w:divBdr>
                    <w:top w:val="none" w:sz="0" w:space="0" w:color="auto"/>
                    <w:left w:val="none" w:sz="0" w:space="0" w:color="auto"/>
                    <w:bottom w:val="none" w:sz="0" w:space="0" w:color="auto"/>
                    <w:right w:val="none" w:sz="0" w:space="0" w:color="auto"/>
                  </w:divBdr>
                </w:div>
                <w:div w:id="1114177944">
                  <w:marLeft w:val="2592"/>
                  <w:marRight w:val="0"/>
                  <w:marTop w:val="0"/>
                  <w:marBottom w:val="101"/>
                  <w:divBdr>
                    <w:top w:val="none" w:sz="0" w:space="0" w:color="auto"/>
                    <w:left w:val="none" w:sz="0" w:space="0" w:color="auto"/>
                    <w:bottom w:val="none" w:sz="0" w:space="0" w:color="auto"/>
                    <w:right w:val="none" w:sz="0" w:space="0" w:color="auto"/>
                  </w:divBdr>
                </w:div>
                <w:div w:id="810563146">
                  <w:marLeft w:val="2592"/>
                  <w:marRight w:val="0"/>
                  <w:marTop w:val="0"/>
                  <w:marBottom w:val="101"/>
                  <w:divBdr>
                    <w:top w:val="none" w:sz="0" w:space="0" w:color="auto"/>
                    <w:left w:val="none" w:sz="0" w:space="0" w:color="auto"/>
                    <w:bottom w:val="none" w:sz="0" w:space="0" w:color="auto"/>
                    <w:right w:val="none" w:sz="0" w:space="0" w:color="auto"/>
                  </w:divBdr>
                </w:div>
                <w:div w:id="1338732646">
                  <w:marLeft w:val="2160"/>
                  <w:marRight w:val="0"/>
                  <w:marTop w:val="0"/>
                  <w:marBottom w:val="101"/>
                  <w:divBdr>
                    <w:top w:val="none" w:sz="0" w:space="0" w:color="auto"/>
                    <w:left w:val="none" w:sz="0" w:space="0" w:color="auto"/>
                    <w:bottom w:val="none" w:sz="0" w:space="0" w:color="auto"/>
                    <w:right w:val="none" w:sz="0" w:space="0" w:color="auto"/>
                  </w:divBdr>
                </w:div>
                <w:div w:id="324093076">
                  <w:marLeft w:val="1440"/>
                  <w:marRight w:val="0"/>
                  <w:marTop w:val="0"/>
                  <w:marBottom w:val="101"/>
                  <w:divBdr>
                    <w:top w:val="none" w:sz="0" w:space="0" w:color="auto"/>
                    <w:left w:val="none" w:sz="0" w:space="0" w:color="auto"/>
                    <w:bottom w:val="none" w:sz="0" w:space="0" w:color="auto"/>
                    <w:right w:val="none" w:sz="0" w:space="0" w:color="auto"/>
                  </w:divBdr>
                </w:div>
                <w:div w:id="20521231">
                  <w:marLeft w:val="1440"/>
                  <w:marRight w:val="0"/>
                  <w:marTop w:val="0"/>
                  <w:marBottom w:val="101"/>
                  <w:divBdr>
                    <w:top w:val="none" w:sz="0" w:space="0" w:color="auto"/>
                    <w:left w:val="none" w:sz="0" w:space="0" w:color="auto"/>
                    <w:bottom w:val="none" w:sz="0" w:space="0" w:color="auto"/>
                    <w:right w:val="none" w:sz="0" w:space="0" w:color="auto"/>
                  </w:divBdr>
                </w:div>
                <w:div w:id="1276135004">
                  <w:marLeft w:val="1440"/>
                  <w:marRight w:val="0"/>
                  <w:marTop w:val="0"/>
                  <w:marBottom w:val="101"/>
                  <w:divBdr>
                    <w:top w:val="none" w:sz="0" w:space="0" w:color="auto"/>
                    <w:left w:val="none" w:sz="0" w:space="0" w:color="auto"/>
                    <w:bottom w:val="none" w:sz="0" w:space="0" w:color="auto"/>
                    <w:right w:val="none" w:sz="0" w:space="0" w:color="auto"/>
                  </w:divBdr>
                </w:div>
                <w:div w:id="1145656644">
                  <w:marLeft w:val="1440"/>
                  <w:marRight w:val="0"/>
                  <w:marTop w:val="0"/>
                  <w:marBottom w:val="101"/>
                  <w:divBdr>
                    <w:top w:val="none" w:sz="0" w:space="0" w:color="auto"/>
                    <w:left w:val="none" w:sz="0" w:space="0" w:color="auto"/>
                    <w:bottom w:val="none" w:sz="0" w:space="0" w:color="auto"/>
                    <w:right w:val="none" w:sz="0" w:space="0" w:color="auto"/>
                  </w:divBdr>
                </w:div>
                <w:div w:id="639312945">
                  <w:marLeft w:val="1440"/>
                  <w:marRight w:val="0"/>
                  <w:marTop w:val="0"/>
                  <w:marBottom w:val="101"/>
                  <w:divBdr>
                    <w:top w:val="none" w:sz="0" w:space="0" w:color="auto"/>
                    <w:left w:val="none" w:sz="0" w:space="0" w:color="auto"/>
                    <w:bottom w:val="none" w:sz="0" w:space="0" w:color="auto"/>
                    <w:right w:val="none" w:sz="0" w:space="0" w:color="auto"/>
                  </w:divBdr>
                </w:div>
                <w:div w:id="277373248">
                  <w:marLeft w:val="1440"/>
                  <w:marRight w:val="0"/>
                  <w:marTop w:val="0"/>
                  <w:marBottom w:val="101"/>
                  <w:divBdr>
                    <w:top w:val="none" w:sz="0" w:space="0" w:color="auto"/>
                    <w:left w:val="none" w:sz="0" w:space="0" w:color="auto"/>
                    <w:bottom w:val="none" w:sz="0" w:space="0" w:color="auto"/>
                    <w:right w:val="none" w:sz="0" w:space="0" w:color="auto"/>
                  </w:divBdr>
                </w:div>
                <w:div w:id="64762423">
                  <w:marLeft w:val="1440"/>
                  <w:marRight w:val="0"/>
                  <w:marTop w:val="0"/>
                  <w:marBottom w:val="101"/>
                  <w:divBdr>
                    <w:top w:val="none" w:sz="0" w:space="0" w:color="auto"/>
                    <w:left w:val="none" w:sz="0" w:space="0" w:color="auto"/>
                    <w:bottom w:val="none" w:sz="0" w:space="0" w:color="auto"/>
                    <w:right w:val="none" w:sz="0" w:space="0" w:color="auto"/>
                  </w:divBdr>
                </w:div>
                <w:div w:id="21056614">
                  <w:marLeft w:val="1440"/>
                  <w:marRight w:val="0"/>
                  <w:marTop w:val="0"/>
                  <w:marBottom w:val="101"/>
                  <w:divBdr>
                    <w:top w:val="none" w:sz="0" w:space="0" w:color="auto"/>
                    <w:left w:val="none" w:sz="0" w:space="0" w:color="auto"/>
                    <w:bottom w:val="none" w:sz="0" w:space="0" w:color="auto"/>
                    <w:right w:val="none" w:sz="0" w:space="0" w:color="auto"/>
                  </w:divBdr>
                </w:div>
                <w:div w:id="190263226">
                  <w:marLeft w:val="1440"/>
                  <w:marRight w:val="0"/>
                  <w:marTop w:val="0"/>
                  <w:marBottom w:val="101"/>
                  <w:divBdr>
                    <w:top w:val="none" w:sz="0" w:space="0" w:color="auto"/>
                    <w:left w:val="none" w:sz="0" w:space="0" w:color="auto"/>
                    <w:bottom w:val="none" w:sz="0" w:space="0" w:color="auto"/>
                    <w:right w:val="none" w:sz="0" w:space="0" w:color="auto"/>
                  </w:divBdr>
                </w:div>
                <w:div w:id="406808518">
                  <w:marLeft w:val="1440"/>
                  <w:marRight w:val="0"/>
                  <w:marTop w:val="0"/>
                  <w:marBottom w:val="101"/>
                  <w:divBdr>
                    <w:top w:val="none" w:sz="0" w:space="0" w:color="auto"/>
                    <w:left w:val="none" w:sz="0" w:space="0" w:color="auto"/>
                    <w:bottom w:val="none" w:sz="0" w:space="0" w:color="auto"/>
                    <w:right w:val="none" w:sz="0" w:space="0" w:color="auto"/>
                  </w:divBdr>
                </w:div>
                <w:div w:id="1188105131">
                  <w:marLeft w:val="1440"/>
                  <w:marRight w:val="0"/>
                  <w:marTop w:val="0"/>
                  <w:marBottom w:val="101"/>
                  <w:divBdr>
                    <w:top w:val="none" w:sz="0" w:space="0" w:color="auto"/>
                    <w:left w:val="none" w:sz="0" w:space="0" w:color="auto"/>
                    <w:bottom w:val="none" w:sz="0" w:space="0" w:color="auto"/>
                    <w:right w:val="none" w:sz="0" w:space="0" w:color="auto"/>
                  </w:divBdr>
                </w:div>
                <w:div w:id="952247055">
                  <w:marLeft w:val="1440"/>
                  <w:marRight w:val="0"/>
                  <w:marTop w:val="0"/>
                  <w:marBottom w:val="101"/>
                  <w:divBdr>
                    <w:top w:val="none" w:sz="0" w:space="0" w:color="auto"/>
                    <w:left w:val="none" w:sz="0" w:space="0" w:color="auto"/>
                    <w:bottom w:val="none" w:sz="0" w:space="0" w:color="auto"/>
                    <w:right w:val="none" w:sz="0" w:space="0" w:color="auto"/>
                  </w:divBdr>
                </w:div>
                <w:div w:id="193543650">
                  <w:marLeft w:val="1440"/>
                  <w:marRight w:val="0"/>
                  <w:marTop w:val="0"/>
                  <w:marBottom w:val="101"/>
                  <w:divBdr>
                    <w:top w:val="none" w:sz="0" w:space="0" w:color="auto"/>
                    <w:left w:val="none" w:sz="0" w:space="0" w:color="auto"/>
                    <w:bottom w:val="none" w:sz="0" w:space="0" w:color="auto"/>
                    <w:right w:val="none" w:sz="0" w:space="0" w:color="auto"/>
                  </w:divBdr>
                </w:div>
                <w:div w:id="859464501">
                  <w:marLeft w:val="1440"/>
                  <w:marRight w:val="0"/>
                  <w:marTop w:val="0"/>
                  <w:marBottom w:val="101"/>
                  <w:divBdr>
                    <w:top w:val="none" w:sz="0" w:space="0" w:color="auto"/>
                    <w:left w:val="none" w:sz="0" w:space="0" w:color="auto"/>
                    <w:bottom w:val="none" w:sz="0" w:space="0" w:color="auto"/>
                    <w:right w:val="none" w:sz="0" w:space="0" w:color="auto"/>
                  </w:divBdr>
                </w:div>
                <w:div w:id="2082941888">
                  <w:marLeft w:val="1440"/>
                  <w:marRight w:val="0"/>
                  <w:marTop w:val="0"/>
                  <w:marBottom w:val="101"/>
                  <w:divBdr>
                    <w:top w:val="none" w:sz="0" w:space="0" w:color="auto"/>
                    <w:left w:val="none" w:sz="0" w:space="0" w:color="auto"/>
                    <w:bottom w:val="none" w:sz="0" w:space="0" w:color="auto"/>
                    <w:right w:val="none" w:sz="0" w:space="0" w:color="auto"/>
                  </w:divBdr>
                </w:div>
                <w:div w:id="2084133412">
                  <w:marLeft w:val="1440"/>
                  <w:marRight w:val="0"/>
                  <w:marTop w:val="0"/>
                  <w:marBottom w:val="101"/>
                  <w:divBdr>
                    <w:top w:val="none" w:sz="0" w:space="0" w:color="auto"/>
                    <w:left w:val="none" w:sz="0" w:space="0" w:color="auto"/>
                    <w:bottom w:val="none" w:sz="0" w:space="0" w:color="auto"/>
                    <w:right w:val="none" w:sz="0" w:space="0" w:color="auto"/>
                  </w:divBdr>
                </w:div>
                <w:div w:id="1039011790">
                  <w:marLeft w:val="1440"/>
                  <w:marRight w:val="0"/>
                  <w:marTop w:val="0"/>
                  <w:marBottom w:val="101"/>
                  <w:divBdr>
                    <w:top w:val="none" w:sz="0" w:space="0" w:color="auto"/>
                    <w:left w:val="none" w:sz="0" w:space="0" w:color="auto"/>
                    <w:bottom w:val="none" w:sz="0" w:space="0" w:color="auto"/>
                    <w:right w:val="none" w:sz="0" w:space="0" w:color="auto"/>
                  </w:divBdr>
                </w:div>
                <w:div w:id="1751543922">
                  <w:marLeft w:val="1440"/>
                  <w:marRight w:val="0"/>
                  <w:marTop w:val="0"/>
                  <w:marBottom w:val="101"/>
                  <w:divBdr>
                    <w:top w:val="none" w:sz="0" w:space="0" w:color="auto"/>
                    <w:left w:val="none" w:sz="0" w:space="0" w:color="auto"/>
                    <w:bottom w:val="none" w:sz="0" w:space="0" w:color="auto"/>
                    <w:right w:val="none" w:sz="0" w:space="0" w:color="auto"/>
                  </w:divBdr>
                </w:div>
                <w:div w:id="1912344209">
                  <w:marLeft w:val="1440"/>
                  <w:marRight w:val="0"/>
                  <w:marTop w:val="0"/>
                  <w:marBottom w:val="101"/>
                  <w:divBdr>
                    <w:top w:val="none" w:sz="0" w:space="0" w:color="auto"/>
                    <w:left w:val="none" w:sz="0" w:space="0" w:color="auto"/>
                    <w:bottom w:val="none" w:sz="0" w:space="0" w:color="auto"/>
                    <w:right w:val="none" w:sz="0" w:space="0" w:color="auto"/>
                  </w:divBdr>
                </w:div>
                <w:div w:id="1453941785">
                  <w:marLeft w:val="2160"/>
                  <w:marRight w:val="0"/>
                  <w:marTop w:val="0"/>
                  <w:marBottom w:val="101"/>
                  <w:divBdr>
                    <w:top w:val="none" w:sz="0" w:space="0" w:color="auto"/>
                    <w:left w:val="none" w:sz="0" w:space="0" w:color="auto"/>
                    <w:bottom w:val="none" w:sz="0" w:space="0" w:color="auto"/>
                    <w:right w:val="none" w:sz="0" w:space="0" w:color="auto"/>
                  </w:divBdr>
                </w:div>
                <w:div w:id="710763994">
                  <w:marLeft w:val="2160"/>
                  <w:marRight w:val="0"/>
                  <w:marTop w:val="0"/>
                  <w:marBottom w:val="101"/>
                  <w:divBdr>
                    <w:top w:val="none" w:sz="0" w:space="0" w:color="auto"/>
                    <w:left w:val="none" w:sz="0" w:space="0" w:color="auto"/>
                    <w:bottom w:val="none" w:sz="0" w:space="0" w:color="auto"/>
                    <w:right w:val="none" w:sz="0" w:space="0" w:color="auto"/>
                  </w:divBdr>
                </w:div>
                <w:div w:id="60910523">
                  <w:marLeft w:val="2160"/>
                  <w:marRight w:val="0"/>
                  <w:marTop w:val="0"/>
                  <w:marBottom w:val="101"/>
                  <w:divBdr>
                    <w:top w:val="none" w:sz="0" w:space="0" w:color="auto"/>
                    <w:left w:val="none" w:sz="0" w:space="0" w:color="auto"/>
                    <w:bottom w:val="none" w:sz="0" w:space="0" w:color="auto"/>
                    <w:right w:val="none" w:sz="0" w:space="0" w:color="auto"/>
                  </w:divBdr>
                </w:div>
                <w:div w:id="47607079">
                  <w:marLeft w:val="2160"/>
                  <w:marRight w:val="0"/>
                  <w:marTop w:val="0"/>
                  <w:marBottom w:val="101"/>
                  <w:divBdr>
                    <w:top w:val="none" w:sz="0" w:space="0" w:color="auto"/>
                    <w:left w:val="none" w:sz="0" w:space="0" w:color="auto"/>
                    <w:bottom w:val="none" w:sz="0" w:space="0" w:color="auto"/>
                    <w:right w:val="none" w:sz="0" w:space="0" w:color="auto"/>
                  </w:divBdr>
                </w:div>
                <w:div w:id="269630232">
                  <w:marLeft w:val="2592"/>
                  <w:marRight w:val="0"/>
                  <w:marTop w:val="0"/>
                  <w:marBottom w:val="101"/>
                  <w:divBdr>
                    <w:top w:val="none" w:sz="0" w:space="0" w:color="auto"/>
                    <w:left w:val="none" w:sz="0" w:space="0" w:color="auto"/>
                    <w:bottom w:val="none" w:sz="0" w:space="0" w:color="auto"/>
                    <w:right w:val="none" w:sz="0" w:space="0" w:color="auto"/>
                  </w:divBdr>
                </w:div>
                <w:div w:id="853110324">
                  <w:marLeft w:val="2592"/>
                  <w:marRight w:val="0"/>
                  <w:marTop w:val="0"/>
                  <w:marBottom w:val="101"/>
                  <w:divBdr>
                    <w:top w:val="none" w:sz="0" w:space="0" w:color="auto"/>
                    <w:left w:val="none" w:sz="0" w:space="0" w:color="auto"/>
                    <w:bottom w:val="none" w:sz="0" w:space="0" w:color="auto"/>
                    <w:right w:val="none" w:sz="0" w:space="0" w:color="auto"/>
                  </w:divBdr>
                </w:div>
                <w:div w:id="1482690944">
                  <w:marLeft w:val="2592"/>
                  <w:marRight w:val="0"/>
                  <w:marTop w:val="0"/>
                  <w:marBottom w:val="101"/>
                  <w:divBdr>
                    <w:top w:val="none" w:sz="0" w:space="0" w:color="auto"/>
                    <w:left w:val="none" w:sz="0" w:space="0" w:color="auto"/>
                    <w:bottom w:val="none" w:sz="0" w:space="0" w:color="auto"/>
                    <w:right w:val="none" w:sz="0" w:space="0" w:color="auto"/>
                  </w:divBdr>
                </w:div>
                <w:div w:id="2041009886">
                  <w:marLeft w:val="2160"/>
                  <w:marRight w:val="0"/>
                  <w:marTop w:val="0"/>
                  <w:marBottom w:val="101"/>
                  <w:divBdr>
                    <w:top w:val="none" w:sz="0" w:space="0" w:color="auto"/>
                    <w:left w:val="none" w:sz="0" w:space="0" w:color="auto"/>
                    <w:bottom w:val="none" w:sz="0" w:space="0" w:color="auto"/>
                    <w:right w:val="none" w:sz="0" w:space="0" w:color="auto"/>
                  </w:divBdr>
                </w:div>
                <w:div w:id="441337307">
                  <w:marLeft w:val="2160"/>
                  <w:marRight w:val="0"/>
                  <w:marTop w:val="0"/>
                  <w:marBottom w:val="101"/>
                  <w:divBdr>
                    <w:top w:val="none" w:sz="0" w:space="0" w:color="auto"/>
                    <w:left w:val="none" w:sz="0" w:space="0" w:color="auto"/>
                    <w:bottom w:val="none" w:sz="0" w:space="0" w:color="auto"/>
                    <w:right w:val="none" w:sz="0" w:space="0" w:color="auto"/>
                  </w:divBdr>
                </w:div>
                <w:div w:id="199098569">
                  <w:marLeft w:val="2160"/>
                  <w:marRight w:val="0"/>
                  <w:marTop w:val="0"/>
                  <w:marBottom w:val="101"/>
                  <w:divBdr>
                    <w:top w:val="none" w:sz="0" w:space="0" w:color="auto"/>
                    <w:left w:val="none" w:sz="0" w:space="0" w:color="auto"/>
                    <w:bottom w:val="none" w:sz="0" w:space="0" w:color="auto"/>
                    <w:right w:val="none" w:sz="0" w:space="0" w:color="auto"/>
                  </w:divBdr>
                </w:div>
                <w:div w:id="457142669">
                  <w:marLeft w:val="1440"/>
                  <w:marRight w:val="0"/>
                  <w:marTop w:val="0"/>
                  <w:marBottom w:val="101"/>
                  <w:divBdr>
                    <w:top w:val="none" w:sz="0" w:space="0" w:color="auto"/>
                    <w:left w:val="none" w:sz="0" w:space="0" w:color="auto"/>
                    <w:bottom w:val="none" w:sz="0" w:space="0" w:color="auto"/>
                    <w:right w:val="none" w:sz="0" w:space="0" w:color="auto"/>
                  </w:divBdr>
                </w:div>
                <w:div w:id="1341617670">
                  <w:marLeft w:val="1440"/>
                  <w:marRight w:val="0"/>
                  <w:marTop w:val="0"/>
                  <w:marBottom w:val="101"/>
                  <w:divBdr>
                    <w:top w:val="none" w:sz="0" w:space="0" w:color="auto"/>
                    <w:left w:val="none" w:sz="0" w:space="0" w:color="auto"/>
                    <w:bottom w:val="none" w:sz="0" w:space="0" w:color="auto"/>
                    <w:right w:val="none" w:sz="0" w:space="0" w:color="auto"/>
                  </w:divBdr>
                </w:div>
                <w:div w:id="1704013503">
                  <w:marLeft w:val="1440"/>
                  <w:marRight w:val="0"/>
                  <w:marTop w:val="0"/>
                  <w:marBottom w:val="101"/>
                  <w:divBdr>
                    <w:top w:val="none" w:sz="0" w:space="0" w:color="auto"/>
                    <w:left w:val="none" w:sz="0" w:space="0" w:color="auto"/>
                    <w:bottom w:val="none" w:sz="0" w:space="0" w:color="auto"/>
                    <w:right w:val="none" w:sz="0" w:space="0" w:color="auto"/>
                  </w:divBdr>
                </w:div>
                <w:div w:id="1483229768">
                  <w:marLeft w:val="1440"/>
                  <w:marRight w:val="0"/>
                  <w:marTop w:val="0"/>
                  <w:marBottom w:val="101"/>
                  <w:divBdr>
                    <w:top w:val="none" w:sz="0" w:space="0" w:color="auto"/>
                    <w:left w:val="none" w:sz="0" w:space="0" w:color="auto"/>
                    <w:bottom w:val="none" w:sz="0" w:space="0" w:color="auto"/>
                    <w:right w:val="none" w:sz="0" w:space="0" w:color="auto"/>
                  </w:divBdr>
                </w:div>
                <w:div w:id="1230733123">
                  <w:marLeft w:val="1440"/>
                  <w:marRight w:val="0"/>
                  <w:marTop w:val="0"/>
                  <w:marBottom w:val="101"/>
                  <w:divBdr>
                    <w:top w:val="none" w:sz="0" w:space="0" w:color="auto"/>
                    <w:left w:val="none" w:sz="0" w:space="0" w:color="auto"/>
                    <w:bottom w:val="none" w:sz="0" w:space="0" w:color="auto"/>
                    <w:right w:val="none" w:sz="0" w:space="0" w:color="auto"/>
                  </w:divBdr>
                </w:div>
                <w:div w:id="1847750385">
                  <w:marLeft w:val="1440"/>
                  <w:marRight w:val="0"/>
                  <w:marTop w:val="0"/>
                  <w:marBottom w:val="101"/>
                  <w:divBdr>
                    <w:top w:val="none" w:sz="0" w:space="0" w:color="auto"/>
                    <w:left w:val="none" w:sz="0" w:space="0" w:color="auto"/>
                    <w:bottom w:val="none" w:sz="0" w:space="0" w:color="auto"/>
                    <w:right w:val="none" w:sz="0" w:space="0" w:color="auto"/>
                  </w:divBdr>
                </w:div>
                <w:div w:id="809522909">
                  <w:marLeft w:val="1440"/>
                  <w:marRight w:val="0"/>
                  <w:marTop w:val="0"/>
                  <w:marBottom w:val="101"/>
                  <w:divBdr>
                    <w:top w:val="none" w:sz="0" w:space="0" w:color="auto"/>
                    <w:left w:val="none" w:sz="0" w:space="0" w:color="auto"/>
                    <w:bottom w:val="none" w:sz="0" w:space="0" w:color="auto"/>
                    <w:right w:val="none" w:sz="0" w:space="0" w:color="auto"/>
                  </w:divBdr>
                </w:div>
                <w:div w:id="98070430">
                  <w:marLeft w:val="1440"/>
                  <w:marRight w:val="0"/>
                  <w:marTop w:val="0"/>
                  <w:marBottom w:val="101"/>
                  <w:divBdr>
                    <w:top w:val="none" w:sz="0" w:space="0" w:color="auto"/>
                    <w:left w:val="none" w:sz="0" w:space="0" w:color="auto"/>
                    <w:bottom w:val="none" w:sz="0" w:space="0" w:color="auto"/>
                    <w:right w:val="none" w:sz="0" w:space="0" w:color="auto"/>
                  </w:divBdr>
                </w:div>
                <w:div w:id="603466305">
                  <w:marLeft w:val="1440"/>
                  <w:marRight w:val="0"/>
                  <w:marTop w:val="0"/>
                  <w:marBottom w:val="101"/>
                  <w:divBdr>
                    <w:top w:val="none" w:sz="0" w:space="0" w:color="auto"/>
                    <w:left w:val="none" w:sz="0" w:space="0" w:color="auto"/>
                    <w:bottom w:val="none" w:sz="0" w:space="0" w:color="auto"/>
                    <w:right w:val="none" w:sz="0" w:space="0" w:color="auto"/>
                  </w:divBdr>
                </w:div>
                <w:div w:id="136917843">
                  <w:marLeft w:val="1440"/>
                  <w:marRight w:val="0"/>
                  <w:marTop w:val="0"/>
                  <w:marBottom w:val="101"/>
                  <w:divBdr>
                    <w:top w:val="none" w:sz="0" w:space="0" w:color="auto"/>
                    <w:left w:val="none" w:sz="0" w:space="0" w:color="auto"/>
                    <w:bottom w:val="none" w:sz="0" w:space="0" w:color="auto"/>
                    <w:right w:val="none" w:sz="0" w:space="0" w:color="auto"/>
                  </w:divBdr>
                </w:div>
                <w:div w:id="476413949">
                  <w:marLeft w:val="2160"/>
                  <w:marRight w:val="0"/>
                  <w:marTop w:val="0"/>
                  <w:marBottom w:val="101"/>
                  <w:divBdr>
                    <w:top w:val="none" w:sz="0" w:space="0" w:color="auto"/>
                    <w:left w:val="none" w:sz="0" w:space="0" w:color="auto"/>
                    <w:bottom w:val="none" w:sz="0" w:space="0" w:color="auto"/>
                    <w:right w:val="none" w:sz="0" w:space="0" w:color="auto"/>
                  </w:divBdr>
                </w:div>
                <w:div w:id="905451263">
                  <w:marLeft w:val="2160"/>
                  <w:marRight w:val="0"/>
                  <w:marTop w:val="0"/>
                  <w:marBottom w:val="101"/>
                  <w:divBdr>
                    <w:top w:val="none" w:sz="0" w:space="0" w:color="auto"/>
                    <w:left w:val="none" w:sz="0" w:space="0" w:color="auto"/>
                    <w:bottom w:val="none" w:sz="0" w:space="0" w:color="auto"/>
                    <w:right w:val="none" w:sz="0" w:space="0" w:color="auto"/>
                  </w:divBdr>
                </w:div>
                <w:div w:id="1376197222">
                  <w:marLeft w:val="2160"/>
                  <w:marRight w:val="0"/>
                  <w:marTop w:val="0"/>
                  <w:marBottom w:val="101"/>
                  <w:divBdr>
                    <w:top w:val="none" w:sz="0" w:space="0" w:color="auto"/>
                    <w:left w:val="none" w:sz="0" w:space="0" w:color="auto"/>
                    <w:bottom w:val="none" w:sz="0" w:space="0" w:color="auto"/>
                    <w:right w:val="none" w:sz="0" w:space="0" w:color="auto"/>
                  </w:divBdr>
                </w:div>
                <w:div w:id="1464422229">
                  <w:marLeft w:val="1440"/>
                  <w:marRight w:val="0"/>
                  <w:marTop w:val="0"/>
                  <w:marBottom w:val="101"/>
                  <w:divBdr>
                    <w:top w:val="none" w:sz="0" w:space="0" w:color="auto"/>
                    <w:left w:val="none" w:sz="0" w:space="0" w:color="auto"/>
                    <w:bottom w:val="none" w:sz="0" w:space="0" w:color="auto"/>
                    <w:right w:val="none" w:sz="0" w:space="0" w:color="auto"/>
                  </w:divBdr>
                </w:div>
                <w:div w:id="442892913">
                  <w:marLeft w:val="1440"/>
                  <w:marRight w:val="0"/>
                  <w:marTop w:val="0"/>
                  <w:marBottom w:val="101"/>
                  <w:divBdr>
                    <w:top w:val="none" w:sz="0" w:space="0" w:color="auto"/>
                    <w:left w:val="none" w:sz="0" w:space="0" w:color="auto"/>
                    <w:bottom w:val="none" w:sz="0" w:space="0" w:color="auto"/>
                    <w:right w:val="none" w:sz="0" w:space="0" w:color="auto"/>
                  </w:divBdr>
                </w:div>
                <w:div w:id="693188471">
                  <w:marLeft w:val="2160"/>
                  <w:marRight w:val="0"/>
                  <w:marTop w:val="0"/>
                  <w:marBottom w:val="101"/>
                  <w:divBdr>
                    <w:top w:val="none" w:sz="0" w:space="0" w:color="auto"/>
                    <w:left w:val="none" w:sz="0" w:space="0" w:color="auto"/>
                    <w:bottom w:val="none" w:sz="0" w:space="0" w:color="auto"/>
                    <w:right w:val="none" w:sz="0" w:space="0" w:color="auto"/>
                  </w:divBdr>
                </w:div>
                <w:div w:id="1953248805">
                  <w:marLeft w:val="2160"/>
                  <w:marRight w:val="0"/>
                  <w:marTop w:val="0"/>
                  <w:marBottom w:val="101"/>
                  <w:divBdr>
                    <w:top w:val="none" w:sz="0" w:space="0" w:color="auto"/>
                    <w:left w:val="none" w:sz="0" w:space="0" w:color="auto"/>
                    <w:bottom w:val="none" w:sz="0" w:space="0" w:color="auto"/>
                    <w:right w:val="none" w:sz="0" w:space="0" w:color="auto"/>
                  </w:divBdr>
                </w:div>
                <w:div w:id="1342660663">
                  <w:marLeft w:val="2160"/>
                  <w:marRight w:val="0"/>
                  <w:marTop w:val="0"/>
                  <w:marBottom w:val="101"/>
                  <w:divBdr>
                    <w:top w:val="none" w:sz="0" w:space="0" w:color="auto"/>
                    <w:left w:val="none" w:sz="0" w:space="0" w:color="auto"/>
                    <w:bottom w:val="none" w:sz="0" w:space="0" w:color="auto"/>
                    <w:right w:val="none" w:sz="0" w:space="0" w:color="auto"/>
                  </w:divBdr>
                </w:div>
                <w:div w:id="1227766253">
                  <w:marLeft w:val="2160"/>
                  <w:marRight w:val="0"/>
                  <w:marTop w:val="0"/>
                  <w:marBottom w:val="101"/>
                  <w:divBdr>
                    <w:top w:val="none" w:sz="0" w:space="0" w:color="auto"/>
                    <w:left w:val="none" w:sz="0" w:space="0" w:color="auto"/>
                    <w:bottom w:val="none" w:sz="0" w:space="0" w:color="auto"/>
                    <w:right w:val="none" w:sz="0" w:space="0" w:color="auto"/>
                  </w:divBdr>
                </w:div>
                <w:div w:id="1544518076">
                  <w:marLeft w:val="2160"/>
                  <w:marRight w:val="0"/>
                  <w:marTop w:val="0"/>
                  <w:marBottom w:val="101"/>
                  <w:divBdr>
                    <w:top w:val="none" w:sz="0" w:space="0" w:color="auto"/>
                    <w:left w:val="none" w:sz="0" w:space="0" w:color="auto"/>
                    <w:bottom w:val="none" w:sz="0" w:space="0" w:color="auto"/>
                    <w:right w:val="none" w:sz="0" w:space="0" w:color="auto"/>
                  </w:divBdr>
                </w:div>
                <w:div w:id="1120103520">
                  <w:marLeft w:val="2160"/>
                  <w:marRight w:val="0"/>
                  <w:marTop w:val="0"/>
                  <w:marBottom w:val="101"/>
                  <w:divBdr>
                    <w:top w:val="none" w:sz="0" w:space="0" w:color="auto"/>
                    <w:left w:val="none" w:sz="0" w:space="0" w:color="auto"/>
                    <w:bottom w:val="none" w:sz="0" w:space="0" w:color="auto"/>
                    <w:right w:val="none" w:sz="0" w:space="0" w:color="auto"/>
                  </w:divBdr>
                </w:div>
                <w:div w:id="912130866">
                  <w:marLeft w:val="1440"/>
                  <w:marRight w:val="0"/>
                  <w:marTop w:val="0"/>
                  <w:marBottom w:val="101"/>
                  <w:divBdr>
                    <w:top w:val="none" w:sz="0" w:space="0" w:color="auto"/>
                    <w:left w:val="none" w:sz="0" w:space="0" w:color="auto"/>
                    <w:bottom w:val="none" w:sz="0" w:space="0" w:color="auto"/>
                    <w:right w:val="none" w:sz="0" w:space="0" w:color="auto"/>
                  </w:divBdr>
                </w:div>
                <w:div w:id="506599952">
                  <w:marLeft w:val="1440"/>
                  <w:marRight w:val="0"/>
                  <w:marTop w:val="0"/>
                  <w:marBottom w:val="101"/>
                  <w:divBdr>
                    <w:top w:val="none" w:sz="0" w:space="0" w:color="auto"/>
                    <w:left w:val="none" w:sz="0" w:space="0" w:color="auto"/>
                    <w:bottom w:val="none" w:sz="0" w:space="0" w:color="auto"/>
                    <w:right w:val="none" w:sz="0" w:space="0" w:color="auto"/>
                  </w:divBdr>
                </w:div>
                <w:div w:id="1956866537">
                  <w:marLeft w:val="1440"/>
                  <w:marRight w:val="0"/>
                  <w:marTop w:val="0"/>
                  <w:marBottom w:val="101"/>
                  <w:divBdr>
                    <w:top w:val="none" w:sz="0" w:space="0" w:color="auto"/>
                    <w:left w:val="none" w:sz="0" w:space="0" w:color="auto"/>
                    <w:bottom w:val="none" w:sz="0" w:space="0" w:color="auto"/>
                    <w:right w:val="none" w:sz="0" w:space="0" w:color="auto"/>
                  </w:divBdr>
                </w:div>
                <w:div w:id="869147463">
                  <w:marLeft w:val="1440"/>
                  <w:marRight w:val="0"/>
                  <w:marTop w:val="0"/>
                  <w:marBottom w:val="101"/>
                  <w:divBdr>
                    <w:top w:val="none" w:sz="0" w:space="0" w:color="auto"/>
                    <w:left w:val="none" w:sz="0" w:space="0" w:color="auto"/>
                    <w:bottom w:val="none" w:sz="0" w:space="0" w:color="auto"/>
                    <w:right w:val="none" w:sz="0" w:space="0" w:color="auto"/>
                  </w:divBdr>
                </w:div>
                <w:div w:id="1683967129">
                  <w:marLeft w:val="1440"/>
                  <w:marRight w:val="0"/>
                  <w:marTop w:val="0"/>
                  <w:marBottom w:val="101"/>
                  <w:divBdr>
                    <w:top w:val="none" w:sz="0" w:space="0" w:color="auto"/>
                    <w:left w:val="none" w:sz="0" w:space="0" w:color="auto"/>
                    <w:bottom w:val="none" w:sz="0" w:space="0" w:color="auto"/>
                    <w:right w:val="none" w:sz="0" w:space="0" w:color="auto"/>
                  </w:divBdr>
                </w:div>
                <w:div w:id="456031147">
                  <w:marLeft w:val="1440"/>
                  <w:marRight w:val="0"/>
                  <w:marTop w:val="0"/>
                  <w:marBottom w:val="101"/>
                  <w:divBdr>
                    <w:top w:val="none" w:sz="0" w:space="0" w:color="auto"/>
                    <w:left w:val="none" w:sz="0" w:space="0" w:color="auto"/>
                    <w:bottom w:val="none" w:sz="0" w:space="0" w:color="auto"/>
                    <w:right w:val="none" w:sz="0" w:space="0" w:color="auto"/>
                  </w:divBdr>
                </w:div>
                <w:div w:id="2103718767">
                  <w:marLeft w:val="1440"/>
                  <w:marRight w:val="0"/>
                  <w:marTop w:val="0"/>
                  <w:marBottom w:val="101"/>
                  <w:divBdr>
                    <w:top w:val="none" w:sz="0" w:space="0" w:color="auto"/>
                    <w:left w:val="none" w:sz="0" w:space="0" w:color="auto"/>
                    <w:bottom w:val="none" w:sz="0" w:space="0" w:color="auto"/>
                    <w:right w:val="none" w:sz="0" w:space="0" w:color="auto"/>
                  </w:divBdr>
                </w:div>
                <w:div w:id="1256012416">
                  <w:marLeft w:val="1440"/>
                  <w:marRight w:val="0"/>
                  <w:marTop w:val="0"/>
                  <w:marBottom w:val="101"/>
                  <w:divBdr>
                    <w:top w:val="none" w:sz="0" w:space="0" w:color="auto"/>
                    <w:left w:val="none" w:sz="0" w:space="0" w:color="auto"/>
                    <w:bottom w:val="none" w:sz="0" w:space="0" w:color="auto"/>
                    <w:right w:val="none" w:sz="0" w:space="0" w:color="auto"/>
                  </w:divBdr>
                </w:div>
                <w:div w:id="1589071442">
                  <w:marLeft w:val="2160"/>
                  <w:marRight w:val="0"/>
                  <w:marTop w:val="0"/>
                  <w:marBottom w:val="101"/>
                  <w:divBdr>
                    <w:top w:val="none" w:sz="0" w:space="0" w:color="auto"/>
                    <w:left w:val="none" w:sz="0" w:space="0" w:color="auto"/>
                    <w:bottom w:val="none" w:sz="0" w:space="0" w:color="auto"/>
                    <w:right w:val="none" w:sz="0" w:space="0" w:color="auto"/>
                  </w:divBdr>
                </w:div>
                <w:div w:id="1361316128">
                  <w:marLeft w:val="2160"/>
                  <w:marRight w:val="0"/>
                  <w:marTop w:val="0"/>
                  <w:marBottom w:val="101"/>
                  <w:divBdr>
                    <w:top w:val="none" w:sz="0" w:space="0" w:color="auto"/>
                    <w:left w:val="none" w:sz="0" w:space="0" w:color="auto"/>
                    <w:bottom w:val="none" w:sz="0" w:space="0" w:color="auto"/>
                    <w:right w:val="none" w:sz="0" w:space="0" w:color="auto"/>
                  </w:divBdr>
                </w:div>
                <w:div w:id="665859991">
                  <w:marLeft w:val="2160"/>
                  <w:marRight w:val="0"/>
                  <w:marTop w:val="0"/>
                  <w:marBottom w:val="101"/>
                  <w:divBdr>
                    <w:top w:val="none" w:sz="0" w:space="0" w:color="auto"/>
                    <w:left w:val="none" w:sz="0" w:space="0" w:color="auto"/>
                    <w:bottom w:val="none" w:sz="0" w:space="0" w:color="auto"/>
                    <w:right w:val="none" w:sz="0" w:space="0" w:color="auto"/>
                  </w:divBdr>
                </w:div>
                <w:div w:id="961152374">
                  <w:marLeft w:val="2160"/>
                  <w:marRight w:val="0"/>
                  <w:marTop w:val="0"/>
                  <w:marBottom w:val="101"/>
                  <w:divBdr>
                    <w:top w:val="none" w:sz="0" w:space="0" w:color="auto"/>
                    <w:left w:val="none" w:sz="0" w:space="0" w:color="auto"/>
                    <w:bottom w:val="none" w:sz="0" w:space="0" w:color="auto"/>
                    <w:right w:val="none" w:sz="0" w:space="0" w:color="auto"/>
                  </w:divBdr>
                </w:div>
                <w:div w:id="2040624848">
                  <w:marLeft w:val="2160"/>
                  <w:marRight w:val="0"/>
                  <w:marTop w:val="0"/>
                  <w:marBottom w:val="101"/>
                  <w:divBdr>
                    <w:top w:val="none" w:sz="0" w:space="0" w:color="auto"/>
                    <w:left w:val="none" w:sz="0" w:space="0" w:color="auto"/>
                    <w:bottom w:val="none" w:sz="0" w:space="0" w:color="auto"/>
                    <w:right w:val="none" w:sz="0" w:space="0" w:color="auto"/>
                  </w:divBdr>
                </w:div>
                <w:div w:id="1182662720">
                  <w:marLeft w:val="2160"/>
                  <w:marRight w:val="0"/>
                  <w:marTop w:val="0"/>
                  <w:marBottom w:val="101"/>
                  <w:divBdr>
                    <w:top w:val="none" w:sz="0" w:space="0" w:color="auto"/>
                    <w:left w:val="none" w:sz="0" w:space="0" w:color="auto"/>
                    <w:bottom w:val="none" w:sz="0" w:space="0" w:color="auto"/>
                    <w:right w:val="none" w:sz="0" w:space="0" w:color="auto"/>
                  </w:divBdr>
                </w:div>
                <w:div w:id="259488291">
                  <w:marLeft w:val="2160"/>
                  <w:marRight w:val="0"/>
                  <w:marTop w:val="0"/>
                  <w:marBottom w:val="101"/>
                  <w:divBdr>
                    <w:top w:val="none" w:sz="0" w:space="0" w:color="auto"/>
                    <w:left w:val="none" w:sz="0" w:space="0" w:color="auto"/>
                    <w:bottom w:val="none" w:sz="0" w:space="0" w:color="auto"/>
                    <w:right w:val="none" w:sz="0" w:space="0" w:color="auto"/>
                  </w:divBdr>
                </w:div>
                <w:div w:id="821656959">
                  <w:marLeft w:val="2160"/>
                  <w:marRight w:val="0"/>
                  <w:marTop w:val="0"/>
                  <w:marBottom w:val="101"/>
                  <w:divBdr>
                    <w:top w:val="none" w:sz="0" w:space="0" w:color="auto"/>
                    <w:left w:val="none" w:sz="0" w:space="0" w:color="auto"/>
                    <w:bottom w:val="none" w:sz="0" w:space="0" w:color="auto"/>
                    <w:right w:val="none" w:sz="0" w:space="0" w:color="auto"/>
                  </w:divBdr>
                </w:div>
                <w:div w:id="518856062">
                  <w:marLeft w:val="2160"/>
                  <w:marRight w:val="0"/>
                  <w:marTop w:val="0"/>
                  <w:marBottom w:val="101"/>
                  <w:divBdr>
                    <w:top w:val="none" w:sz="0" w:space="0" w:color="auto"/>
                    <w:left w:val="none" w:sz="0" w:space="0" w:color="auto"/>
                    <w:bottom w:val="none" w:sz="0" w:space="0" w:color="auto"/>
                    <w:right w:val="none" w:sz="0" w:space="0" w:color="auto"/>
                  </w:divBdr>
                </w:div>
                <w:div w:id="1790271611">
                  <w:marLeft w:val="2160"/>
                  <w:marRight w:val="0"/>
                  <w:marTop w:val="0"/>
                  <w:marBottom w:val="101"/>
                  <w:divBdr>
                    <w:top w:val="none" w:sz="0" w:space="0" w:color="auto"/>
                    <w:left w:val="none" w:sz="0" w:space="0" w:color="auto"/>
                    <w:bottom w:val="none" w:sz="0" w:space="0" w:color="auto"/>
                    <w:right w:val="none" w:sz="0" w:space="0" w:color="auto"/>
                  </w:divBdr>
                </w:div>
                <w:div w:id="1768887958">
                  <w:marLeft w:val="2160"/>
                  <w:marRight w:val="0"/>
                  <w:marTop w:val="0"/>
                  <w:marBottom w:val="101"/>
                  <w:divBdr>
                    <w:top w:val="none" w:sz="0" w:space="0" w:color="auto"/>
                    <w:left w:val="none" w:sz="0" w:space="0" w:color="auto"/>
                    <w:bottom w:val="none" w:sz="0" w:space="0" w:color="auto"/>
                    <w:right w:val="none" w:sz="0" w:space="0" w:color="auto"/>
                  </w:divBdr>
                </w:div>
                <w:div w:id="353924837">
                  <w:marLeft w:val="2160"/>
                  <w:marRight w:val="0"/>
                  <w:marTop w:val="0"/>
                  <w:marBottom w:val="101"/>
                  <w:divBdr>
                    <w:top w:val="none" w:sz="0" w:space="0" w:color="auto"/>
                    <w:left w:val="none" w:sz="0" w:space="0" w:color="auto"/>
                    <w:bottom w:val="none" w:sz="0" w:space="0" w:color="auto"/>
                    <w:right w:val="none" w:sz="0" w:space="0" w:color="auto"/>
                  </w:divBdr>
                </w:div>
                <w:div w:id="1555967863">
                  <w:marLeft w:val="2160"/>
                  <w:marRight w:val="0"/>
                  <w:marTop w:val="0"/>
                  <w:marBottom w:val="101"/>
                  <w:divBdr>
                    <w:top w:val="none" w:sz="0" w:space="0" w:color="auto"/>
                    <w:left w:val="none" w:sz="0" w:space="0" w:color="auto"/>
                    <w:bottom w:val="none" w:sz="0" w:space="0" w:color="auto"/>
                    <w:right w:val="none" w:sz="0" w:space="0" w:color="auto"/>
                  </w:divBdr>
                </w:div>
                <w:div w:id="1907716886">
                  <w:marLeft w:val="2160"/>
                  <w:marRight w:val="0"/>
                  <w:marTop w:val="0"/>
                  <w:marBottom w:val="101"/>
                  <w:divBdr>
                    <w:top w:val="none" w:sz="0" w:space="0" w:color="auto"/>
                    <w:left w:val="none" w:sz="0" w:space="0" w:color="auto"/>
                    <w:bottom w:val="none" w:sz="0" w:space="0" w:color="auto"/>
                    <w:right w:val="none" w:sz="0" w:space="0" w:color="auto"/>
                  </w:divBdr>
                </w:div>
                <w:div w:id="800461138">
                  <w:marLeft w:val="2160"/>
                  <w:marRight w:val="0"/>
                  <w:marTop w:val="0"/>
                  <w:marBottom w:val="101"/>
                  <w:divBdr>
                    <w:top w:val="none" w:sz="0" w:space="0" w:color="auto"/>
                    <w:left w:val="none" w:sz="0" w:space="0" w:color="auto"/>
                    <w:bottom w:val="none" w:sz="0" w:space="0" w:color="auto"/>
                    <w:right w:val="none" w:sz="0" w:space="0" w:color="auto"/>
                  </w:divBdr>
                </w:div>
                <w:div w:id="332492214">
                  <w:marLeft w:val="2160"/>
                  <w:marRight w:val="0"/>
                  <w:marTop w:val="0"/>
                  <w:marBottom w:val="101"/>
                  <w:divBdr>
                    <w:top w:val="none" w:sz="0" w:space="0" w:color="auto"/>
                    <w:left w:val="none" w:sz="0" w:space="0" w:color="auto"/>
                    <w:bottom w:val="none" w:sz="0" w:space="0" w:color="auto"/>
                    <w:right w:val="none" w:sz="0" w:space="0" w:color="auto"/>
                  </w:divBdr>
                </w:div>
                <w:div w:id="2034383089">
                  <w:marLeft w:val="2592"/>
                  <w:marRight w:val="0"/>
                  <w:marTop w:val="0"/>
                  <w:marBottom w:val="101"/>
                  <w:divBdr>
                    <w:top w:val="none" w:sz="0" w:space="0" w:color="auto"/>
                    <w:left w:val="none" w:sz="0" w:space="0" w:color="auto"/>
                    <w:bottom w:val="none" w:sz="0" w:space="0" w:color="auto"/>
                    <w:right w:val="none" w:sz="0" w:space="0" w:color="auto"/>
                  </w:divBdr>
                </w:div>
                <w:div w:id="468282244">
                  <w:marLeft w:val="2592"/>
                  <w:marRight w:val="0"/>
                  <w:marTop w:val="0"/>
                  <w:marBottom w:val="101"/>
                  <w:divBdr>
                    <w:top w:val="none" w:sz="0" w:space="0" w:color="auto"/>
                    <w:left w:val="none" w:sz="0" w:space="0" w:color="auto"/>
                    <w:bottom w:val="none" w:sz="0" w:space="0" w:color="auto"/>
                    <w:right w:val="none" w:sz="0" w:space="0" w:color="auto"/>
                  </w:divBdr>
                </w:div>
                <w:div w:id="1641230806">
                  <w:marLeft w:val="2592"/>
                  <w:marRight w:val="0"/>
                  <w:marTop w:val="0"/>
                  <w:marBottom w:val="101"/>
                  <w:divBdr>
                    <w:top w:val="none" w:sz="0" w:space="0" w:color="auto"/>
                    <w:left w:val="none" w:sz="0" w:space="0" w:color="auto"/>
                    <w:bottom w:val="none" w:sz="0" w:space="0" w:color="auto"/>
                    <w:right w:val="none" w:sz="0" w:space="0" w:color="auto"/>
                  </w:divBdr>
                </w:div>
                <w:div w:id="1879121642">
                  <w:marLeft w:val="2160"/>
                  <w:marRight w:val="0"/>
                  <w:marTop w:val="0"/>
                  <w:marBottom w:val="101"/>
                  <w:divBdr>
                    <w:top w:val="none" w:sz="0" w:space="0" w:color="auto"/>
                    <w:left w:val="none" w:sz="0" w:space="0" w:color="auto"/>
                    <w:bottom w:val="none" w:sz="0" w:space="0" w:color="auto"/>
                    <w:right w:val="none" w:sz="0" w:space="0" w:color="auto"/>
                  </w:divBdr>
                </w:div>
                <w:div w:id="164635206">
                  <w:marLeft w:val="2160"/>
                  <w:marRight w:val="0"/>
                  <w:marTop w:val="0"/>
                  <w:marBottom w:val="101"/>
                  <w:divBdr>
                    <w:top w:val="none" w:sz="0" w:space="0" w:color="auto"/>
                    <w:left w:val="none" w:sz="0" w:space="0" w:color="auto"/>
                    <w:bottom w:val="none" w:sz="0" w:space="0" w:color="auto"/>
                    <w:right w:val="none" w:sz="0" w:space="0" w:color="auto"/>
                  </w:divBdr>
                </w:div>
                <w:div w:id="1707942803">
                  <w:marLeft w:val="2160"/>
                  <w:marRight w:val="0"/>
                  <w:marTop w:val="0"/>
                  <w:marBottom w:val="101"/>
                  <w:divBdr>
                    <w:top w:val="none" w:sz="0" w:space="0" w:color="auto"/>
                    <w:left w:val="none" w:sz="0" w:space="0" w:color="auto"/>
                    <w:bottom w:val="none" w:sz="0" w:space="0" w:color="auto"/>
                    <w:right w:val="none" w:sz="0" w:space="0" w:color="auto"/>
                  </w:divBdr>
                </w:div>
                <w:div w:id="1530726049">
                  <w:marLeft w:val="2160"/>
                  <w:marRight w:val="0"/>
                  <w:marTop w:val="0"/>
                  <w:marBottom w:val="101"/>
                  <w:divBdr>
                    <w:top w:val="none" w:sz="0" w:space="0" w:color="auto"/>
                    <w:left w:val="none" w:sz="0" w:space="0" w:color="auto"/>
                    <w:bottom w:val="none" w:sz="0" w:space="0" w:color="auto"/>
                    <w:right w:val="none" w:sz="0" w:space="0" w:color="auto"/>
                  </w:divBdr>
                </w:div>
                <w:div w:id="1316759757">
                  <w:marLeft w:val="1440"/>
                  <w:marRight w:val="0"/>
                  <w:marTop w:val="0"/>
                  <w:marBottom w:val="101"/>
                  <w:divBdr>
                    <w:top w:val="none" w:sz="0" w:space="0" w:color="auto"/>
                    <w:left w:val="none" w:sz="0" w:space="0" w:color="auto"/>
                    <w:bottom w:val="none" w:sz="0" w:space="0" w:color="auto"/>
                    <w:right w:val="none" w:sz="0" w:space="0" w:color="auto"/>
                  </w:divBdr>
                </w:div>
                <w:div w:id="1564485656">
                  <w:marLeft w:val="1440"/>
                  <w:marRight w:val="0"/>
                  <w:marTop w:val="0"/>
                  <w:marBottom w:val="101"/>
                  <w:divBdr>
                    <w:top w:val="none" w:sz="0" w:space="0" w:color="auto"/>
                    <w:left w:val="none" w:sz="0" w:space="0" w:color="auto"/>
                    <w:bottom w:val="none" w:sz="0" w:space="0" w:color="auto"/>
                    <w:right w:val="none" w:sz="0" w:space="0" w:color="auto"/>
                  </w:divBdr>
                </w:div>
                <w:div w:id="1136340315">
                  <w:marLeft w:val="1440"/>
                  <w:marRight w:val="0"/>
                  <w:marTop w:val="0"/>
                  <w:marBottom w:val="101"/>
                  <w:divBdr>
                    <w:top w:val="none" w:sz="0" w:space="0" w:color="auto"/>
                    <w:left w:val="none" w:sz="0" w:space="0" w:color="auto"/>
                    <w:bottom w:val="none" w:sz="0" w:space="0" w:color="auto"/>
                    <w:right w:val="none" w:sz="0" w:space="0" w:color="auto"/>
                  </w:divBdr>
                </w:div>
                <w:div w:id="312563065">
                  <w:marLeft w:val="2160"/>
                  <w:marRight w:val="0"/>
                  <w:marTop w:val="0"/>
                  <w:marBottom w:val="101"/>
                  <w:divBdr>
                    <w:top w:val="none" w:sz="0" w:space="0" w:color="auto"/>
                    <w:left w:val="none" w:sz="0" w:space="0" w:color="auto"/>
                    <w:bottom w:val="none" w:sz="0" w:space="0" w:color="auto"/>
                    <w:right w:val="none" w:sz="0" w:space="0" w:color="auto"/>
                  </w:divBdr>
                </w:div>
                <w:div w:id="897667420">
                  <w:marLeft w:val="2160"/>
                  <w:marRight w:val="0"/>
                  <w:marTop w:val="0"/>
                  <w:marBottom w:val="101"/>
                  <w:divBdr>
                    <w:top w:val="none" w:sz="0" w:space="0" w:color="auto"/>
                    <w:left w:val="none" w:sz="0" w:space="0" w:color="auto"/>
                    <w:bottom w:val="none" w:sz="0" w:space="0" w:color="auto"/>
                    <w:right w:val="none" w:sz="0" w:space="0" w:color="auto"/>
                  </w:divBdr>
                </w:div>
                <w:div w:id="1393457614">
                  <w:marLeft w:val="2160"/>
                  <w:marRight w:val="0"/>
                  <w:marTop w:val="0"/>
                  <w:marBottom w:val="101"/>
                  <w:divBdr>
                    <w:top w:val="none" w:sz="0" w:space="0" w:color="auto"/>
                    <w:left w:val="none" w:sz="0" w:space="0" w:color="auto"/>
                    <w:bottom w:val="none" w:sz="0" w:space="0" w:color="auto"/>
                    <w:right w:val="none" w:sz="0" w:space="0" w:color="auto"/>
                  </w:divBdr>
                </w:div>
                <w:div w:id="166527036">
                  <w:marLeft w:val="2160"/>
                  <w:marRight w:val="0"/>
                  <w:marTop w:val="0"/>
                  <w:marBottom w:val="101"/>
                  <w:divBdr>
                    <w:top w:val="none" w:sz="0" w:space="0" w:color="auto"/>
                    <w:left w:val="none" w:sz="0" w:space="0" w:color="auto"/>
                    <w:bottom w:val="none" w:sz="0" w:space="0" w:color="auto"/>
                    <w:right w:val="none" w:sz="0" w:space="0" w:color="auto"/>
                  </w:divBdr>
                </w:div>
                <w:div w:id="2088071695">
                  <w:marLeft w:val="2160"/>
                  <w:marRight w:val="0"/>
                  <w:marTop w:val="0"/>
                  <w:marBottom w:val="101"/>
                  <w:divBdr>
                    <w:top w:val="none" w:sz="0" w:space="0" w:color="auto"/>
                    <w:left w:val="none" w:sz="0" w:space="0" w:color="auto"/>
                    <w:bottom w:val="none" w:sz="0" w:space="0" w:color="auto"/>
                    <w:right w:val="none" w:sz="0" w:space="0" w:color="auto"/>
                  </w:divBdr>
                </w:div>
                <w:div w:id="1490096751">
                  <w:marLeft w:val="2160"/>
                  <w:marRight w:val="0"/>
                  <w:marTop w:val="0"/>
                  <w:marBottom w:val="101"/>
                  <w:divBdr>
                    <w:top w:val="none" w:sz="0" w:space="0" w:color="auto"/>
                    <w:left w:val="none" w:sz="0" w:space="0" w:color="auto"/>
                    <w:bottom w:val="none" w:sz="0" w:space="0" w:color="auto"/>
                    <w:right w:val="none" w:sz="0" w:space="0" w:color="auto"/>
                  </w:divBdr>
                </w:div>
                <w:div w:id="982738329">
                  <w:marLeft w:val="2160"/>
                  <w:marRight w:val="0"/>
                  <w:marTop w:val="0"/>
                  <w:marBottom w:val="101"/>
                  <w:divBdr>
                    <w:top w:val="none" w:sz="0" w:space="0" w:color="auto"/>
                    <w:left w:val="none" w:sz="0" w:space="0" w:color="auto"/>
                    <w:bottom w:val="none" w:sz="0" w:space="0" w:color="auto"/>
                    <w:right w:val="none" w:sz="0" w:space="0" w:color="auto"/>
                  </w:divBdr>
                </w:div>
                <w:div w:id="1361663360">
                  <w:marLeft w:val="2160"/>
                  <w:marRight w:val="0"/>
                  <w:marTop w:val="0"/>
                  <w:marBottom w:val="101"/>
                  <w:divBdr>
                    <w:top w:val="none" w:sz="0" w:space="0" w:color="auto"/>
                    <w:left w:val="none" w:sz="0" w:space="0" w:color="auto"/>
                    <w:bottom w:val="none" w:sz="0" w:space="0" w:color="auto"/>
                    <w:right w:val="none" w:sz="0" w:space="0" w:color="auto"/>
                  </w:divBdr>
                </w:div>
                <w:div w:id="709719064">
                  <w:marLeft w:val="2160"/>
                  <w:marRight w:val="0"/>
                  <w:marTop w:val="0"/>
                  <w:marBottom w:val="101"/>
                  <w:divBdr>
                    <w:top w:val="none" w:sz="0" w:space="0" w:color="auto"/>
                    <w:left w:val="none" w:sz="0" w:space="0" w:color="auto"/>
                    <w:bottom w:val="none" w:sz="0" w:space="0" w:color="auto"/>
                    <w:right w:val="none" w:sz="0" w:space="0" w:color="auto"/>
                  </w:divBdr>
                </w:div>
                <w:div w:id="1545556521">
                  <w:marLeft w:val="2160"/>
                  <w:marRight w:val="0"/>
                  <w:marTop w:val="0"/>
                  <w:marBottom w:val="101"/>
                  <w:divBdr>
                    <w:top w:val="none" w:sz="0" w:space="0" w:color="auto"/>
                    <w:left w:val="none" w:sz="0" w:space="0" w:color="auto"/>
                    <w:bottom w:val="none" w:sz="0" w:space="0" w:color="auto"/>
                    <w:right w:val="none" w:sz="0" w:space="0" w:color="auto"/>
                  </w:divBdr>
                </w:div>
                <w:div w:id="505486025">
                  <w:marLeft w:val="2160"/>
                  <w:marRight w:val="0"/>
                  <w:marTop w:val="0"/>
                  <w:marBottom w:val="101"/>
                  <w:divBdr>
                    <w:top w:val="none" w:sz="0" w:space="0" w:color="auto"/>
                    <w:left w:val="none" w:sz="0" w:space="0" w:color="auto"/>
                    <w:bottom w:val="none" w:sz="0" w:space="0" w:color="auto"/>
                    <w:right w:val="none" w:sz="0" w:space="0" w:color="auto"/>
                  </w:divBdr>
                </w:div>
                <w:div w:id="566838136">
                  <w:marLeft w:val="2160"/>
                  <w:marRight w:val="0"/>
                  <w:marTop w:val="0"/>
                  <w:marBottom w:val="101"/>
                  <w:divBdr>
                    <w:top w:val="none" w:sz="0" w:space="0" w:color="auto"/>
                    <w:left w:val="none" w:sz="0" w:space="0" w:color="auto"/>
                    <w:bottom w:val="none" w:sz="0" w:space="0" w:color="auto"/>
                    <w:right w:val="none" w:sz="0" w:space="0" w:color="auto"/>
                  </w:divBdr>
                </w:div>
                <w:div w:id="2145614694">
                  <w:marLeft w:val="2160"/>
                  <w:marRight w:val="0"/>
                  <w:marTop w:val="0"/>
                  <w:marBottom w:val="101"/>
                  <w:divBdr>
                    <w:top w:val="none" w:sz="0" w:space="0" w:color="auto"/>
                    <w:left w:val="none" w:sz="0" w:space="0" w:color="auto"/>
                    <w:bottom w:val="none" w:sz="0" w:space="0" w:color="auto"/>
                    <w:right w:val="none" w:sz="0" w:space="0" w:color="auto"/>
                  </w:divBdr>
                </w:div>
                <w:div w:id="501048887">
                  <w:marLeft w:val="1440"/>
                  <w:marRight w:val="0"/>
                  <w:marTop w:val="0"/>
                  <w:marBottom w:val="101"/>
                  <w:divBdr>
                    <w:top w:val="none" w:sz="0" w:space="0" w:color="auto"/>
                    <w:left w:val="none" w:sz="0" w:space="0" w:color="auto"/>
                    <w:bottom w:val="none" w:sz="0" w:space="0" w:color="auto"/>
                    <w:right w:val="none" w:sz="0" w:space="0" w:color="auto"/>
                  </w:divBdr>
                </w:div>
                <w:div w:id="1637028584">
                  <w:marLeft w:val="1440"/>
                  <w:marRight w:val="0"/>
                  <w:marTop w:val="0"/>
                  <w:marBottom w:val="101"/>
                  <w:divBdr>
                    <w:top w:val="none" w:sz="0" w:space="0" w:color="auto"/>
                    <w:left w:val="none" w:sz="0" w:space="0" w:color="auto"/>
                    <w:bottom w:val="none" w:sz="0" w:space="0" w:color="auto"/>
                    <w:right w:val="none" w:sz="0" w:space="0" w:color="auto"/>
                  </w:divBdr>
                </w:div>
                <w:div w:id="1695306180">
                  <w:marLeft w:val="1440"/>
                  <w:marRight w:val="0"/>
                  <w:marTop w:val="0"/>
                  <w:marBottom w:val="101"/>
                  <w:divBdr>
                    <w:top w:val="none" w:sz="0" w:space="0" w:color="auto"/>
                    <w:left w:val="none" w:sz="0" w:space="0" w:color="auto"/>
                    <w:bottom w:val="none" w:sz="0" w:space="0" w:color="auto"/>
                    <w:right w:val="none" w:sz="0" w:space="0" w:color="auto"/>
                  </w:divBdr>
                </w:div>
                <w:div w:id="2101825888">
                  <w:marLeft w:val="1440"/>
                  <w:marRight w:val="0"/>
                  <w:marTop w:val="0"/>
                  <w:marBottom w:val="101"/>
                  <w:divBdr>
                    <w:top w:val="none" w:sz="0" w:space="0" w:color="auto"/>
                    <w:left w:val="none" w:sz="0" w:space="0" w:color="auto"/>
                    <w:bottom w:val="none" w:sz="0" w:space="0" w:color="auto"/>
                    <w:right w:val="none" w:sz="0" w:space="0" w:color="auto"/>
                  </w:divBdr>
                </w:div>
                <w:div w:id="2088451500">
                  <w:marLeft w:val="1440"/>
                  <w:marRight w:val="0"/>
                  <w:marTop w:val="0"/>
                  <w:marBottom w:val="101"/>
                  <w:divBdr>
                    <w:top w:val="none" w:sz="0" w:space="0" w:color="auto"/>
                    <w:left w:val="none" w:sz="0" w:space="0" w:color="auto"/>
                    <w:bottom w:val="none" w:sz="0" w:space="0" w:color="auto"/>
                    <w:right w:val="none" w:sz="0" w:space="0" w:color="auto"/>
                  </w:divBdr>
                </w:div>
                <w:div w:id="2126656624">
                  <w:marLeft w:val="1440"/>
                  <w:marRight w:val="0"/>
                  <w:marTop w:val="0"/>
                  <w:marBottom w:val="101"/>
                  <w:divBdr>
                    <w:top w:val="none" w:sz="0" w:space="0" w:color="auto"/>
                    <w:left w:val="none" w:sz="0" w:space="0" w:color="auto"/>
                    <w:bottom w:val="none" w:sz="0" w:space="0" w:color="auto"/>
                    <w:right w:val="none" w:sz="0" w:space="0" w:color="auto"/>
                  </w:divBdr>
                </w:div>
                <w:div w:id="925771186">
                  <w:marLeft w:val="2160"/>
                  <w:marRight w:val="0"/>
                  <w:marTop w:val="0"/>
                  <w:marBottom w:val="101"/>
                  <w:divBdr>
                    <w:top w:val="none" w:sz="0" w:space="0" w:color="auto"/>
                    <w:left w:val="none" w:sz="0" w:space="0" w:color="auto"/>
                    <w:bottom w:val="none" w:sz="0" w:space="0" w:color="auto"/>
                    <w:right w:val="none" w:sz="0" w:space="0" w:color="auto"/>
                  </w:divBdr>
                </w:div>
                <w:div w:id="742605641">
                  <w:marLeft w:val="2160"/>
                  <w:marRight w:val="0"/>
                  <w:marTop w:val="0"/>
                  <w:marBottom w:val="101"/>
                  <w:divBdr>
                    <w:top w:val="none" w:sz="0" w:space="0" w:color="auto"/>
                    <w:left w:val="none" w:sz="0" w:space="0" w:color="auto"/>
                    <w:bottom w:val="none" w:sz="0" w:space="0" w:color="auto"/>
                    <w:right w:val="none" w:sz="0" w:space="0" w:color="auto"/>
                  </w:divBdr>
                </w:div>
                <w:div w:id="1532035423">
                  <w:marLeft w:val="2160"/>
                  <w:marRight w:val="0"/>
                  <w:marTop w:val="0"/>
                  <w:marBottom w:val="101"/>
                  <w:divBdr>
                    <w:top w:val="none" w:sz="0" w:space="0" w:color="auto"/>
                    <w:left w:val="none" w:sz="0" w:space="0" w:color="auto"/>
                    <w:bottom w:val="none" w:sz="0" w:space="0" w:color="auto"/>
                    <w:right w:val="none" w:sz="0" w:space="0" w:color="auto"/>
                  </w:divBdr>
                </w:div>
                <w:div w:id="528832842">
                  <w:marLeft w:val="2160"/>
                  <w:marRight w:val="0"/>
                  <w:marTop w:val="0"/>
                  <w:marBottom w:val="101"/>
                  <w:divBdr>
                    <w:top w:val="none" w:sz="0" w:space="0" w:color="auto"/>
                    <w:left w:val="none" w:sz="0" w:space="0" w:color="auto"/>
                    <w:bottom w:val="none" w:sz="0" w:space="0" w:color="auto"/>
                    <w:right w:val="none" w:sz="0" w:space="0" w:color="auto"/>
                  </w:divBdr>
                </w:div>
                <w:div w:id="2082412088">
                  <w:marLeft w:val="2592"/>
                  <w:marRight w:val="0"/>
                  <w:marTop w:val="0"/>
                  <w:marBottom w:val="101"/>
                  <w:divBdr>
                    <w:top w:val="none" w:sz="0" w:space="0" w:color="auto"/>
                    <w:left w:val="none" w:sz="0" w:space="0" w:color="auto"/>
                    <w:bottom w:val="none" w:sz="0" w:space="0" w:color="auto"/>
                    <w:right w:val="none" w:sz="0" w:space="0" w:color="auto"/>
                  </w:divBdr>
                </w:div>
                <w:div w:id="1882009555">
                  <w:marLeft w:val="2592"/>
                  <w:marRight w:val="0"/>
                  <w:marTop w:val="0"/>
                  <w:marBottom w:val="101"/>
                  <w:divBdr>
                    <w:top w:val="none" w:sz="0" w:space="0" w:color="auto"/>
                    <w:left w:val="none" w:sz="0" w:space="0" w:color="auto"/>
                    <w:bottom w:val="none" w:sz="0" w:space="0" w:color="auto"/>
                    <w:right w:val="none" w:sz="0" w:space="0" w:color="auto"/>
                  </w:divBdr>
                </w:div>
                <w:div w:id="1384789036">
                  <w:marLeft w:val="2592"/>
                  <w:marRight w:val="0"/>
                  <w:marTop w:val="0"/>
                  <w:marBottom w:val="101"/>
                  <w:divBdr>
                    <w:top w:val="none" w:sz="0" w:space="0" w:color="auto"/>
                    <w:left w:val="none" w:sz="0" w:space="0" w:color="auto"/>
                    <w:bottom w:val="none" w:sz="0" w:space="0" w:color="auto"/>
                    <w:right w:val="none" w:sz="0" w:space="0" w:color="auto"/>
                  </w:divBdr>
                </w:div>
                <w:div w:id="59401069">
                  <w:marLeft w:val="2160"/>
                  <w:marRight w:val="0"/>
                  <w:marTop w:val="0"/>
                  <w:marBottom w:val="101"/>
                  <w:divBdr>
                    <w:top w:val="none" w:sz="0" w:space="0" w:color="auto"/>
                    <w:left w:val="none" w:sz="0" w:space="0" w:color="auto"/>
                    <w:bottom w:val="none" w:sz="0" w:space="0" w:color="auto"/>
                    <w:right w:val="none" w:sz="0" w:space="0" w:color="auto"/>
                  </w:divBdr>
                </w:div>
                <w:div w:id="15929298">
                  <w:marLeft w:val="1440"/>
                  <w:marRight w:val="0"/>
                  <w:marTop w:val="0"/>
                  <w:marBottom w:val="101"/>
                  <w:divBdr>
                    <w:top w:val="none" w:sz="0" w:space="0" w:color="auto"/>
                    <w:left w:val="none" w:sz="0" w:space="0" w:color="auto"/>
                    <w:bottom w:val="none" w:sz="0" w:space="0" w:color="auto"/>
                    <w:right w:val="none" w:sz="0" w:space="0" w:color="auto"/>
                  </w:divBdr>
                </w:div>
                <w:div w:id="1847792880">
                  <w:marLeft w:val="1440"/>
                  <w:marRight w:val="0"/>
                  <w:marTop w:val="0"/>
                  <w:marBottom w:val="101"/>
                  <w:divBdr>
                    <w:top w:val="none" w:sz="0" w:space="0" w:color="auto"/>
                    <w:left w:val="none" w:sz="0" w:space="0" w:color="auto"/>
                    <w:bottom w:val="none" w:sz="0" w:space="0" w:color="auto"/>
                    <w:right w:val="none" w:sz="0" w:space="0" w:color="auto"/>
                  </w:divBdr>
                </w:div>
                <w:div w:id="1487160336">
                  <w:marLeft w:val="1440"/>
                  <w:marRight w:val="0"/>
                  <w:marTop w:val="0"/>
                  <w:marBottom w:val="101"/>
                  <w:divBdr>
                    <w:top w:val="none" w:sz="0" w:space="0" w:color="auto"/>
                    <w:left w:val="none" w:sz="0" w:space="0" w:color="auto"/>
                    <w:bottom w:val="none" w:sz="0" w:space="0" w:color="auto"/>
                    <w:right w:val="none" w:sz="0" w:space="0" w:color="auto"/>
                  </w:divBdr>
                </w:div>
                <w:div w:id="1080905979">
                  <w:marLeft w:val="1440"/>
                  <w:marRight w:val="0"/>
                  <w:marTop w:val="0"/>
                  <w:marBottom w:val="94"/>
                  <w:divBdr>
                    <w:top w:val="none" w:sz="0" w:space="0" w:color="auto"/>
                    <w:left w:val="none" w:sz="0" w:space="0" w:color="auto"/>
                    <w:bottom w:val="none" w:sz="0" w:space="0" w:color="auto"/>
                    <w:right w:val="none" w:sz="0" w:space="0" w:color="auto"/>
                  </w:divBdr>
                </w:div>
                <w:div w:id="1509179166">
                  <w:marLeft w:val="1440"/>
                  <w:marRight w:val="0"/>
                  <w:marTop w:val="0"/>
                  <w:marBottom w:val="94"/>
                  <w:divBdr>
                    <w:top w:val="none" w:sz="0" w:space="0" w:color="auto"/>
                    <w:left w:val="none" w:sz="0" w:space="0" w:color="auto"/>
                    <w:bottom w:val="none" w:sz="0" w:space="0" w:color="auto"/>
                    <w:right w:val="none" w:sz="0" w:space="0" w:color="auto"/>
                  </w:divBdr>
                </w:div>
                <w:div w:id="1896431701">
                  <w:marLeft w:val="1440"/>
                  <w:marRight w:val="0"/>
                  <w:marTop w:val="0"/>
                  <w:marBottom w:val="94"/>
                  <w:divBdr>
                    <w:top w:val="none" w:sz="0" w:space="0" w:color="auto"/>
                    <w:left w:val="none" w:sz="0" w:space="0" w:color="auto"/>
                    <w:bottom w:val="none" w:sz="0" w:space="0" w:color="auto"/>
                    <w:right w:val="none" w:sz="0" w:space="0" w:color="auto"/>
                  </w:divBdr>
                </w:div>
                <w:div w:id="281570921">
                  <w:marLeft w:val="1440"/>
                  <w:marRight w:val="0"/>
                  <w:marTop w:val="0"/>
                  <w:marBottom w:val="94"/>
                  <w:divBdr>
                    <w:top w:val="none" w:sz="0" w:space="0" w:color="auto"/>
                    <w:left w:val="none" w:sz="0" w:space="0" w:color="auto"/>
                    <w:bottom w:val="none" w:sz="0" w:space="0" w:color="auto"/>
                    <w:right w:val="none" w:sz="0" w:space="0" w:color="auto"/>
                  </w:divBdr>
                </w:div>
                <w:div w:id="1425569197">
                  <w:marLeft w:val="1440"/>
                  <w:marRight w:val="0"/>
                  <w:marTop w:val="0"/>
                  <w:marBottom w:val="94"/>
                  <w:divBdr>
                    <w:top w:val="none" w:sz="0" w:space="0" w:color="auto"/>
                    <w:left w:val="none" w:sz="0" w:space="0" w:color="auto"/>
                    <w:bottom w:val="none" w:sz="0" w:space="0" w:color="auto"/>
                    <w:right w:val="none" w:sz="0" w:space="0" w:color="auto"/>
                  </w:divBdr>
                </w:div>
                <w:div w:id="232280311">
                  <w:marLeft w:val="1440"/>
                  <w:marRight w:val="0"/>
                  <w:marTop w:val="0"/>
                  <w:marBottom w:val="94"/>
                  <w:divBdr>
                    <w:top w:val="none" w:sz="0" w:space="0" w:color="auto"/>
                    <w:left w:val="none" w:sz="0" w:space="0" w:color="auto"/>
                    <w:bottom w:val="none" w:sz="0" w:space="0" w:color="auto"/>
                    <w:right w:val="none" w:sz="0" w:space="0" w:color="auto"/>
                  </w:divBdr>
                </w:div>
                <w:div w:id="1111778699">
                  <w:marLeft w:val="1440"/>
                  <w:marRight w:val="0"/>
                  <w:marTop w:val="0"/>
                  <w:marBottom w:val="94"/>
                  <w:divBdr>
                    <w:top w:val="none" w:sz="0" w:space="0" w:color="auto"/>
                    <w:left w:val="none" w:sz="0" w:space="0" w:color="auto"/>
                    <w:bottom w:val="none" w:sz="0" w:space="0" w:color="auto"/>
                    <w:right w:val="none" w:sz="0" w:space="0" w:color="auto"/>
                  </w:divBdr>
                </w:div>
                <w:div w:id="573705144">
                  <w:marLeft w:val="1440"/>
                  <w:marRight w:val="0"/>
                  <w:marTop w:val="0"/>
                  <w:marBottom w:val="94"/>
                  <w:divBdr>
                    <w:top w:val="none" w:sz="0" w:space="0" w:color="auto"/>
                    <w:left w:val="none" w:sz="0" w:space="0" w:color="auto"/>
                    <w:bottom w:val="none" w:sz="0" w:space="0" w:color="auto"/>
                    <w:right w:val="none" w:sz="0" w:space="0" w:color="auto"/>
                  </w:divBdr>
                </w:div>
                <w:div w:id="763107615">
                  <w:marLeft w:val="1440"/>
                  <w:marRight w:val="0"/>
                  <w:marTop w:val="0"/>
                  <w:marBottom w:val="94"/>
                  <w:divBdr>
                    <w:top w:val="none" w:sz="0" w:space="0" w:color="auto"/>
                    <w:left w:val="none" w:sz="0" w:space="0" w:color="auto"/>
                    <w:bottom w:val="none" w:sz="0" w:space="0" w:color="auto"/>
                    <w:right w:val="none" w:sz="0" w:space="0" w:color="auto"/>
                  </w:divBdr>
                </w:div>
                <w:div w:id="1361517163">
                  <w:marLeft w:val="2160"/>
                  <w:marRight w:val="0"/>
                  <w:marTop w:val="0"/>
                  <w:marBottom w:val="94"/>
                  <w:divBdr>
                    <w:top w:val="none" w:sz="0" w:space="0" w:color="auto"/>
                    <w:left w:val="none" w:sz="0" w:space="0" w:color="auto"/>
                    <w:bottom w:val="none" w:sz="0" w:space="0" w:color="auto"/>
                    <w:right w:val="none" w:sz="0" w:space="0" w:color="auto"/>
                  </w:divBdr>
                </w:div>
                <w:div w:id="81069332">
                  <w:marLeft w:val="2160"/>
                  <w:marRight w:val="0"/>
                  <w:marTop w:val="0"/>
                  <w:marBottom w:val="94"/>
                  <w:divBdr>
                    <w:top w:val="none" w:sz="0" w:space="0" w:color="auto"/>
                    <w:left w:val="none" w:sz="0" w:space="0" w:color="auto"/>
                    <w:bottom w:val="none" w:sz="0" w:space="0" w:color="auto"/>
                    <w:right w:val="none" w:sz="0" w:space="0" w:color="auto"/>
                  </w:divBdr>
                </w:div>
                <w:div w:id="1471098926">
                  <w:marLeft w:val="2160"/>
                  <w:marRight w:val="0"/>
                  <w:marTop w:val="0"/>
                  <w:marBottom w:val="94"/>
                  <w:divBdr>
                    <w:top w:val="none" w:sz="0" w:space="0" w:color="auto"/>
                    <w:left w:val="none" w:sz="0" w:space="0" w:color="auto"/>
                    <w:bottom w:val="none" w:sz="0" w:space="0" w:color="auto"/>
                    <w:right w:val="none" w:sz="0" w:space="0" w:color="auto"/>
                  </w:divBdr>
                </w:div>
                <w:div w:id="1512060644">
                  <w:marLeft w:val="1440"/>
                  <w:marRight w:val="0"/>
                  <w:marTop w:val="0"/>
                  <w:marBottom w:val="94"/>
                  <w:divBdr>
                    <w:top w:val="none" w:sz="0" w:space="0" w:color="auto"/>
                    <w:left w:val="none" w:sz="0" w:space="0" w:color="auto"/>
                    <w:bottom w:val="none" w:sz="0" w:space="0" w:color="auto"/>
                    <w:right w:val="none" w:sz="0" w:space="0" w:color="auto"/>
                  </w:divBdr>
                </w:div>
                <w:div w:id="1782800640">
                  <w:marLeft w:val="1440"/>
                  <w:marRight w:val="0"/>
                  <w:marTop w:val="0"/>
                  <w:marBottom w:val="94"/>
                  <w:divBdr>
                    <w:top w:val="none" w:sz="0" w:space="0" w:color="auto"/>
                    <w:left w:val="none" w:sz="0" w:space="0" w:color="auto"/>
                    <w:bottom w:val="none" w:sz="0" w:space="0" w:color="auto"/>
                    <w:right w:val="none" w:sz="0" w:space="0" w:color="auto"/>
                  </w:divBdr>
                </w:div>
                <w:div w:id="1554192345">
                  <w:marLeft w:val="2160"/>
                  <w:marRight w:val="0"/>
                  <w:marTop w:val="0"/>
                  <w:marBottom w:val="94"/>
                  <w:divBdr>
                    <w:top w:val="none" w:sz="0" w:space="0" w:color="auto"/>
                    <w:left w:val="none" w:sz="0" w:space="0" w:color="auto"/>
                    <w:bottom w:val="none" w:sz="0" w:space="0" w:color="auto"/>
                    <w:right w:val="none" w:sz="0" w:space="0" w:color="auto"/>
                  </w:divBdr>
                </w:div>
                <w:div w:id="1944797961">
                  <w:marLeft w:val="2160"/>
                  <w:marRight w:val="0"/>
                  <w:marTop w:val="0"/>
                  <w:marBottom w:val="94"/>
                  <w:divBdr>
                    <w:top w:val="none" w:sz="0" w:space="0" w:color="auto"/>
                    <w:left w:val="none" w:sz="0" w:space="0" w:color="auto"/>
                    <w:bottom w:val="none" w:sz="0" w:space="0" w:color="auto"/>
                    <w:right w:val="none" w:sz="0" w:space="0" w:color="auto"/>
                  </w:divBdr>
                </w:div>
                <w:div w:id="1305625811">
                  <w:marLeft w:val="2160"/>
                  <w:marRight w:val="0"/>
                  <w:marTop w:val="0"/>
                  <w:marBottom w:val="94"/>
                  <w:divBdr>
                    <w:top w:val="none" w:sz="0" w:space="0" w:color="auto"/>
                    <w:left w:val="none" w:sz="0" w:space="0" w:color="auto"/>
                    <w:bottom w:val="none" w:sz="0" w:space="0" w:color="auto"/>
                    <w:right w:val="none" w:sz="0" w:space="0" w:color="auto"/>
                  </w:divBdr>
                </w:div>
                <w:div w:id="1798403743">
                  <w:marLeft w:val="2160"/>
                  <w:marRight w:val="0"/>
                  <w:marTop w:val="0"/>
                  <w:marBottom w:val="94"/>
                  <w:divBdr>
                    <w:top w:val="none" w:sz="0" w:space="0" w:color="auto"/>
                    <w:left w:val="none" w:sz="0" w:space="0" w:color="auto"/>
                    <w:bottom w:val="none" w:sz="0" w:space="0" w:color="auto"/>
                    <w:right w:val="none" w:sz="0" w:space="0" w:color="auto"/>
                  </w:divBdr>
                </w:div>
                <w:div w:id="1303845272">
                  <w:marLeft w:val="2160"/>
                  <w:marRight w:val="0"/>
                  <w:marTop w:val="0"/>
                  <w:marBottom w:val="94"/>
                  <w:divBdr>
                    <w:top w:val="none" w:sz="0" w:space="0" w:color="auto"/>
                    <w:left w:val="none" w:sz="0" w:space="0" w:color="auto"/>
                    <w:bottom w:val="none" w:sz="0" w:space="0" w:color="auto"/>
                    <w:right w:val="none" w:sz="0" w:space="0" w:color="auto"/>
                  </w:divBdr>
                </w:div>
                <w:div w:id="1859810815">
                  <w:marLeft w:val="2160"/>
                  <w:marRight w:val="0"/>
                  <w:marTop w:val="0"/>
                  <w:marBottom w:val="101"/>
                  <w:divBdr>
                    <w:top w:val="none" w:sz="0" w:space="0" w:color="auto"/>
                    <w:left w:val="none" w:sz="0" w:space="0" w:color="auto"/>
                    <w:bottom w:val="none" w:sz="0" w:space="0" w:color="auto"/>
                    <w:right w:val="none" w:sz="0" w:space="0" w:color="auto"/>
                  </w:divBdr>
                </w:div>
                <w:div w:id="1811633410">
                  <w:marLeft w:val="1440"/>
                  <w:marRight w:val="0"/>
                  <w:marTop w:val="0"/>
                  <w:marBottom w:val="101"/>
                  <w:divBdr>
                    <w:top w:val="none" w:sz="0" w:space="0" w:color="auto"/>
                    <w:left w:val="none" w:sz="0" w:space="0" w:color="auto"/>
                    <w:bottom w:val="none" w:sz="0" w:space="0" w:color="auto"/>
                    <w:right w:val="none" w:sz="0" w:space="0" w:color="auto"/>
                  </w:divBdr>
                </w:div>
                <w:div w:id="1069234413">
                  <w:marLeft w:val="1440"/>
                  <w:marRight w:val="0"/>
                  <w:marTop w:val="0"/>
                  <w:marBottom w:val="101"/>
                  <w:divBdr>
                    <w:top w:val="none" w:sz="0" w:space="0" w:color="auto"/>
                    <w:left w:val="none" w:sz="0" w:space="0" w:color="auto"/>
                    <w:bottom w:val="none" w:sz="0" w:space="0" w:color="auto"/>
                    <w:right w:val="none" w:sz="0" w:space="0" w:color="auto"/>
                  </w:divBdr>
                </w:div>
                <w:div w:id="99960281">
                  <w:marLeft w:val="1440"/>
                  <w:marRight w:val="0"/>
                  <w:marTop w:val="0"/>
                  <w:marBottom w:val="101"/>
                  <w:divBdr>
                    <w:top w:val="none" w:sz="0" w:space="0" w:color="auto"/>
                    <w:left w:val="none" w:sz="0" w:space="0" w:color="auto"/>
                    <w:bottom w:val="none" w:sz="0" w:space="0" w:color="auto"/>
                    <w:right w:val="none" w:sz="0" w:space="0" w:color="auto"/>
                  </w:divBdr>
                </w:div>
                <w:div w:id="1012682352">
                  <w:marLeft w:val="1440"/>
                  <w:marRight w:val="0"/>
                  <w:marTop w:val="0"/>
                  <w:marBottom w:val="101"/>
                  <w:divBdr>
                    <w:top w:val="none" w:sz="0" w:space="0" w:color="auto"/>
                    <w:left w:val="none" w:sz="0" w:space="0" w:color="auto"/>
                    <w:bottom w:val="none" w:sz="0" w:space="0" w:color="auto"/>
                    <w:right w:val="none" w:sz="0" w:space="0" w:color="auto"/>
                  </w:divBdr>
                </w:div>
                <w:div w:id="1316453816">
                  <w:marLeft w:val="1440"/>
                  <w:marRight w:val="0"/>
                  <w:marTop w:val="0"/>
                  <w:marBottom w:val="101"/>
                  <w:divBdr>
                    <w:top w:val="none" w:sz="0" w:space="0" w:color="auto"/>
                    <w:left w:val="none" w:sz="0" w:space="0" w:color="auto"/>
                    <w:bottom w:val="none" w:sz="0" w:space="0" w:color="auto"/>
                    <w:right w:val="none" w:sz="0" w:space="0" w:color="auto"/>
                  </w:divBdr>
                </w:div>
                <w:div w:id="376053602">
                  <w:marLeft w:val="1440"/>
                  <w:marRight w:val="0"/>
                  <w:marTop w:val="0"/>
                  <w:marBottom w:val="101"/>
                  <w:divBdr>
                    <w:top w:val="none" w:sz="0" w:space="0" w:color="auto"/>
                    <w:left w:val="none" w:sz="0" w:space="0" w:color="auto"/>
                    <w:bottom w:val="none" w:sz="0" w:space="0" w:color="auto"/>
                    <w:right w:val="none" w:sz="0" w:space="0" w:color="auto"/>
                  </w:divBdr>
                </w:div>
                <w:div w:id="260455590">
                  <w:marLeft w:val="1440"/>
                  <w:marRight w:val="0"/>
                  <w:marTop w:val="0"/>
                  <w:marBottom w:val="101"/>
                  <w:divBdr>
                    <w:top w:val="none" w:sz="0" w:space="0" w:color="auto"/>
                    <w:left w:val="none" w:sz="0" w:space="0" w:color="auto"/>
                    <w:bottom w:val="none" w:sz="0" w:space="0" w:color="auto"/>
                    <w:right w:val="none" w:sz="0" w:space="0" w:color="auto"/>
                  </w:divBdr>
                </w:div>
                <w:div w:id="920413633">
                  <w:marLeft w:val="1440"/>
                  <w:marRight w:val="0"/>
                  <w:marTop w:val="0"/>
                  <w:marBottom w:val="101"/>
                  <w:divBdr>
                    <w:top w:val="none" w:sz="0" w:space="0" w:color="auto"/>
                    <w:left w:val="none" w:sz="0" w:space="0" w:color="auto"/>
                    <w:bottom w:val="none" w:sz="0" w:space="0" w:color="auto"/>
                    <w:right w:val="none" w:sz="0" w:space="0" w:color="auto"/>
                  </w:divBdr>
                </w:div>
                <w:div w:id="1419330476">
                  <w:marLeft w:val="2160"/>
                  <w:marRight w:val="0"/>
                  <w:marTop w:val="0"/>
                  <w:marBottom w:val="101"/>
                  <w:divBdr>
                    <w:top w:val="none" w:sz="0" w:space="0" w:color="auto"/>
                    <w:left w:val="none" w:sz="0" w:space="0" w:color="auto"/>
                    <w:bottom w:val="none" w:sz="0" w:space="0" w:color="auto"/>
                    <w:right w:val="none" w:sz="0" w:space="0" w:color="auto"/>
                  </w:divBdr>
                </w:div>
                <w:div w:id="943149507">
                  <w:marLeft w:val="2160"/>
                  <w:marRight w:val="0"/>
                  <w:marTop w:val="0"/>
                  <w:marBottom w:val="101"/>
                  <w:divBdr>
                    <w:top w:val="none" w:sz="0" w:space="0" w:color="auto"/>
                    <w:left w:val="none" w:sz="0" w:space="0" w:color="auto"/>
                    <w:bottom w:val="none" w:sz="0" w:space="0" w:color="auto"/>
                    <w:right w:val="none" w:sz="0" w:space="0" w:color="auto"/>
                  </w:divBdr>
                </w:div>
                <w:div w:id="957954375">
                  <w:marLeft w:val="2160"/>
                  <w:marRight w:val="0"/>
                  <w:marTop w:val="0"/>
                  <w:marBottom w:val="101"/>
                  <w:divBdr>
                    <w:top w:val="none" w:sz="0" w:space="0" w:color="auto"/>
                    <w:left w:val="none" w:sz="0" w:space="0" w:color="auto"/>
                    <w:bottom w:val="none" w:sz="0" w:space="0" w:color="auto"/>
                    <w:right w:val="none" w:sz="0" w:space="0" w:color="auto"/>
                  </w:divBdr>
                </w:div>
                <w:div w:id="1912881725">
                  <w:marLeft w:val="2160"/>
                  <w:marRight w:val="0"/>
                  <w:marTop w:val="0"/>
                  <w:marBottom w:val="101"/>
                  <w:divBdr>
                    <w:top w:val="none" w:sz="0" w:space="0" w:color="auto"/>
                    <w:left w:val="none" w:sz="0" w:space="0" w:color="auto"/>
                    <w:bottom w:val="none" w:sz="0" w:space="0" w:color="auto"/>
                    <w:right w:val="none" w:sz="0" w:space="0" w:color="auto"/>
                  </w:divBdr>
                </w:div>
                <w:div w:id="1214584485">
                  <w:marLeft w:val="2160"/>
                  <w:marRight w:val="0"/>
                  <w:marTop w:val="0"/>
                  <w:marBottom w:val="101"/>
                  <w:divBdr>
                    <w:top w:val="none" w:sz="0" w:space="0" w:color="auto"/>
                    <w:left w:val="none" w:sz="0" w:space="0" w:color="auto"/>
                    <w:bottom w:val="none" w:sz="0" w:space="0" w:color="auto"/>
                    <w:right w:val="none" w:sz="0" w:space="0" w:color="auto"/>
                  </w:divBdr>
                </w:div>
                <w:div w:id="1211458504">
                  <w:marLeft w:val="2160"/>
                  <w:marRight w:val="0"/>
                  <w:marTop w:val="0"/>
                  <w:marBottom w:val="101"/>
                  <w:divBdr>
                    <w:top w:val="none" w:sz="0" w:space="0" w:color="auto"/>
                    <w:left w:val="none" w:sz="0" w:space="0" w:color="auto"/>
                    <w:bottom w:val="none" w:sz="0" w:space="0" w:color="auto"/>
                    <w:right w:val="none" w:sz="0" w:space="0" w:color="auto"/>
                  </w:divBdr>
                </w:div>
                <w:div w:id="147404855">
                  <w:marLeft w:val="2160"/>
                  <w:marRight w:val="0"/>
                  <w:marTop w:val="0"/>
                  <w:marBottom w:val="101"/>
                  <w:divBdr>
                    <w:top w:val="none" w:sz="0" w:space="0" w:color="auto"/>
                    <w:left w:val="none" w:sz="0" w:space="0" w:color="auto"/>
                    <w:bottom w:val="none" w:sz="0" w:space="0" w:color="auto"/>
                    <w:right w:val="none" w:sz="0" w:space="0" w:color="auto"/>
                  </w:divBdr>
                </w:div>
                <w:div w:id="537014642">
                  <w:marLeft w:val="2160"/>
                  <w:marRight w:val="0"/>
                  <w:marTop w:val="0"/>
                  <w:marBottom w:val="101"/>
                  <w:divBdr>
                    <w:top w:val="none" w:sz="0" w:space="0" w:color="auto"/>
                    <w:left w:val="none" w:sz="0" w:space="0" w:color="auto"/>
                    <w:bottom w:val="none" w:sz="0" w:space="0" w:color="auto"/>
                    <w:right w:val="none" w:sz="0" w:space="0" w:color="auto"/>
                  </w:divBdr>
                </w:div>
                <w:div w:id="38434955">
                  <w:marLeft w:val="2160"/>
                  <w:marRight w:val="0"/>
                  <w:marTop w:val="0"/>
                  <w:marBottom w:val="101"/>
                  <w:divBdr>
                    <w:top w:val="none" w:sz="0" w:space="0" w:color="auto"/>
                    <w:left w:val="none" w:sz="0" w:space="0" w:color="auto"/>
                    <w:bottom w:val="none" w:sz="0" w:space="0" w:color="auto"/>
                    <w:right w:val="none" w:sz="0" w:space="0" w:color="auto"/>
                  </w:divBdr>
                </w:div>
                <w:div w:id="571504860">
                  <w:marLeft w:val="2160"/>
                  <w:marRight w:val="0"/>
                  <w:marTop w:val="0"/>
                  <w:marBottom w:val="101"/>
                  <w:divBdr>
                    <w:top w:val="none" w:sz="0" w:space="0" w:color="auto"/>
                    <w:left w:val="none" w:sz="0" w:space="0" w:color="auto"/>
                    <w:bottom w:val="none" w:sz="0" w:space="0" w:color="auto"/>
                    <w:right w:val="none" w:sz="0" w:space="0" w:color="auto"/>
                  </w:divBdr>
                </w:div>
                <w:div w:id="912079212">
                  <w:marLeft w:val="2160"/>
                  <w:marRight w:val="0"/>
                  <w:marTop w:val="0"/>
                  <w:marBottom w:val="101"/>
                  <w:divBdr>
                    <w:top w:val="none" w:sz="0" w:space="0" w:color="auto"/>
                    <w:left w:val="none" w:sz="0" w:space="0" w:color="auto"/>
                    <w:bottom w:val="none" w:sz="0" w:space="0" w:color="auto"/>
                    <w:right w:val="none" w:sz="0" w:space="0" w:color="auto"/>
                  </w:divBdr>
                </w:div>
                <w:div w:id="1967660861">
                  <w:marLeft w:val="2160"/>
                  <w:marRight w:val="0"/>
                  <w:marTop w:val="0"/>
                  <w:marBottom w:val="101"/>
                  <w:divBdr>
                    <w:top w:val="none" w:sz="0" w:space="0" w:color="auto"/>
                    <w:left w:val="none" w:sz="0" w:space="0" w:color="auto"/>
                    <w:bottom w:val="none" w:sz="0" w:space="0" w:color="auto"/>
                    <w:right w:val="none" w:sz="0" w:space="0" w:color="auto"/>
                  </w:divBdr>
                </w:div>
                <w:div w:id="2325821">
                  <w:marLeft w:val="2160"/>
                  <w:marRight w:val="0"/>
                  <w:marTop w:val="0"/>
                  <w:marBottom w:val="101"/>
                  <w:divBdr>
                    <w:top w:val="none" w:sz="0" w:space="0" w:color="auto"/>
                    <w:left w:val="none" w:sz="0" w:space="0" w:color="auto"/>
                    <w:bottom w:val="none" w:sz="0" w:space="0" w:color="auto"/>
                    <w:right w:val="none" w:sz="0" w:space="0" w:color="auto"/>
                  </w:divBdr>
                </w:div>
                <w:div w:id="1170371593">
                  <w:marLeft w:val="2160"/>
                  <w:marRight w:val="0"/>
                  <w:marTop w:val="0"/>
                  <w:marBottom w:val="101"/>
                  <w:divBdr>
                    <w:top w:val="none" w:sz="0" w:space="0" w:color="auto"/>
                    <w:left w:val="none" w:sz="0" w:space="0" w:color="auto"/>
                    <w:bottom w:val="none" w:sz="0" w:space="0" w:color="auto"/>
                    <w:right w:val="none" w:sz="0" w:space="0" w:color="auto"/>
                  </w:divBdr>
                </w:div>
                <w:div w:id="944310677">
                  <w:marLeft w:val="2160"/>
                  <w:marRight w:val="0"/>
                  <w:marTop w:val="0"/>
                  <w:marBottom w:val="101"/>
                  <w:divBdr>
                    <w:top w:val="none" w:sz="0" w:space="0" w:color="auto"/>
                    <w:left w:val="none" w:sz="0" w:space="0" w:color="auto"/>
                    <w:bottom w:val="none" w:sz="0" w:space="0" w:color="auto"/>
                    <w:right w:val="none" w:sz="0" w:space="0" w:color="auto"/>
                  </w:divBdr>
                </w:div>
                <w:div w:id="366175976">
                  <w:marLeft w:val="2160"/>
                  <w:marRight w:val="0"/>
                  <w:marTop w:val="0"/>
                  <w:marBottom w:val="101"/>
                  <w:divBdr>
                    <w:top w:val="none" w:sz="0" w:space="0" w:color="auto"/>
                    <w:left w:val="none" w:sz="0" w:space="0" w:color="auto"/>
                    <w:bottom w:val="none" w:sz="0" w:space="0" w:color="auto"/>
                    <w:right w:val="none" w:sz="0" w:space="0" w:color="auto"/>
                  </w:divBdr>
                </w:div>
                <w:div w:id="2090616738">
                  <w:marLeft w:val="2592"/>
                  <w:marRight w:val="0"/>
                  <w:marTop w:val="0"/>
                  <w:marBottom w:val="101"/>
                  <w:divBdr>
                    <w:top w:val="none" w:sz="0" w:space="0" w:color="auto"/>
                    <w:left w:val="none" w:sz="0" w:space="0" w:color="auto"/>
                    <w:bottom w:val="none" w:sz="0" w:space="0" w:color="auto"/>
                    <w:right w:val="none" w:sz="0" w:space="0" w:color="auto"/>
                  </w:divBdr>
                </w:div>
                <w:div w:id="589119350">
                  <w:marLeft w:val="2592"/>
                  <w:marRight w:val="0"/>
                  <w:marTop w:val="0"/>
                  <w:marBottom w:val="101"/>
                  <w:divBdr>
                    <w:top w:val="none" w:sz="0" w:space="0" w:color="auto"/>
                    <w:left w:val="none" w:sz="0" w:space="0" w:color="auto"/>
                    <w:bottom w:val="none" w:sz="0" w:space="0" w:color="auto"/>
                    <w:right w:val="none" w:sz="0" w:space="0" w:color="auto"/>
                  </w:divBdr>
                </w:div>
                <w:div w:id="765149460">
                  <w:marLeft w:val="2592"/>
                  <w:marRight w:val="0"/>
                  <w:marTop w:val="0"/>
                  <w:marBottom w:val="101"/>
                  <w:divBdr>
                    <w:top w:val="none" w:sz="0" w:space="0" w:color="auto"/>
                    <w:left w:val="none" w:sz="0" w:space="0" w:color="auto"/>
                    <w:bottom w:val="none" w:sz="0" w:space="0" w:color="auto"/>
                    <w:right w:val="none" w:sz="0" w:space="0" w:color="auto"/>
                  </w:divBdr>
                </w:div>
                <w:div w:id="764300591">
                  <w:marLeft w:val="2160"/>
                  <w:marRight w:val="0"/>
                  <w:marTop w:val="0"/>
                  <w:marBottom w:val="101"/>
                  <w:divBdr>
                    <w:top w:val="none" w:sz="0" w:space="0" w:color="auto"/>
                    <w:left w:val="none" w:sz="0" w:space="0" w:color="auto"/>
                    <w:bottom w:val="none" w:sz="0" w:space="0" w:color="auto"/>
                    <w:right w:val="none" w:sz="0" w:space="0" w:color="auto"/>
                  </w:divBdr>
                </w:div>
                <w:div w:id="899093054">
                  <w:marLeft w:val="2160"/>
                  <w:marRight w:val="0"/>
                  <w:marTop w:val="0"/>
                  <w:marBottom w:val="101"/>
                  <w:divBdr>
                    <w:top w:val="none" w:sz="0" w:space="0" w:color="auto"/>
                    <w:left w:val="none" w:sz="0" w:space="0" w:color="auto"/>
                    <w:bottom w:val="none" w:sz="0" w:space="0" w:color="auto"/>
                    <w:right w:val="none" w:sz="0" w:space="0" w:color="auto"/>
                  </w:divBdr>
                </w:div>
                <w:div w:id="1681278087">
                  <w:marLeft w:val="2160"/>
                  <w:marRight w:val="0"/>
                  <w:marTop w:val="0"/>
                  <w:marBottom w:val="101"/>
                  <w:divBdr>
                    <w:top w:val="none" w:sz="0" w:space="0" w:color="auto"/>
                    <w:left w:val="none" w:sz="0" w:space="0" w:color="auto"/>
                    <w:bottom w:val="none" w:sz="0" w:space="0" w:color="auto"/>
                    <w:right w:val="none" w:sz="0" w:space="0" w:color="auto"/>
                  </w:divBdr>
                </w:div>
                <w:div w:id="8533311">
                  <w:marLeft w:val="1440"/>
                  <w:marRight w:val="0"/>
                  <w:marTop w:val="0"/>
                  <w:marBottom w:val="101"/>
                  <w:divBdr>
                    <w:top w:val="none" w:sz="0" w:space="0" w:color="auto"/>
                    <w:left w:val="none" w:sz="0" w:space="0" w:color="auto"/>
                    <w:bottom w:val="none" w:sz="0" w:space="0" w:color="auto"/>
                    <w:right w:val="none" w:sz="0" w:space="0" w:color="auto"/>
                  </w:divBdr>
                </w:div>
                <w:div w:id="1008946727">
                  <w:marLeft w:val="1440"/>
                  <w:marRight w:val="0"/>
                  <w:marTop w:val="0"/>
                  <w:marBottom w:val="101"/>
                  <w:divBdr>
                    <w:top w:val="none" w:sz="0" w:space="0" w:color="auto"/>
                    <w:left w:val="none" w:sz="0" w:space="0" w:color="auto"/>
                    <w:bottom w:val="none" w:sz="0" w:space="0" w:color="auto"/>
                    <w:right w:val="none" w:sz="0" w:space="0" w:color="auto"/>
                  </w:divBdr>
                </w:div>
                <w:div w:id="1129668315">
                  <w:marLeft w:val="1440"/>
                  <w:marRight w:val="0"/>
                  <w:marTop w:val="0"/>
                  <w:marBottom w:val="101"/>
                  <w:divBdr>
                    <w:top w:val="none" w:sz="0" w:space="0" w:color="auto"/>
                    <w:left w:val="none" w:sz="0" w:space="0" w:color="auto"/>
                    <w:bottom w:val="none" w:sz="0" w:space="0" w:color="auto"/>
                    <w:right w:val="none" w:sz="0" w:space="0" w:color="auto"/>
                  </w:divBdr>
                </w:div>
                <w:div w:id="573856211">
                  <w:marLeft w:val="1440"/>
                  <w:marRight w:val="0"/>
                  <w:marTop w:val="0"/>
                  <w:marBottom w:val="101"/>
                  <w:divBdr>
                    <w:top w:val="none" w:sz="0" w:space="0" w:color="auto"/>
                    <w:left w:val="none" w:sz="0" w:space="0" w:color="auto"/>
                    <w:bottom w:val="none" w:sz="0" w:space="0" w:color="auto"/>
                    <w:right w:val="none" w:sz="0" w:space="0" w:color="auto"/>
                  </w:divBdr>
                </w:div>
                <w:div w:id="182397831">
                  <w:marLeft w:val="2160"/>
                  <w:marRight w:val="0"/>
                  <w:marTop w:val="0"/>
                  <w:marBottom w:val="101"/>
                  <w:divBdr>
                    <w:top w:val="none" w:sz="0" w:space="0" w:color="auto"/>
                    <w:left w:val="none" w:sz="0" w:space="0" w:color="auto"/>
                    <w:bottom w:val="none" w:sz="0" w:space="0" w:color="auto"/>
                    <w:right w:val="none" w:sz="0" w:space="0" w:color="auto"/>
                  </w:divBdr>
                </w:div>
                <w:div w:id="1985961897">
                  <w:marLeft w:val="2160"/>
                  <w:marRight w:val="0"/>
                  <w:marTop w:val="0"/>
                  <w:marBottom w:val="101"/>
                  <w:divBdr>
                    <w:top w:val="none" w:sz="0" w:space="0" w:color="auto"/>
                    <w:left w:val="none" w:sz="0" w:space="0" w:color="auto"/>
                    <w:bottom w:val="none" w:sz="0" w:space="0" w:color="auto"/>
                    <w:right w:val="none" w:sz="0" w:space="0" w:color="auto"/>
                  </w:divBdr>
                </w:div>
                <w:div w:id="41171193">
                  <w:marLeft w:val="2160"/>
                  <w:marRight w:val="0"/>
                  <w:marTop w:val="0"/>
                  <w:marBottom w:val="101"/>
                  <w:divBdr>
                    <w:top w:val="none" w:sz="0" w:space="0" w:color="auto"/>
                    <w:left w:val="none" w:sz="0" w:space="0" w:color="auto"/>
                    <w:bottom w:val="none" w:sz="0" w:space="0" w:color="auto"/>
                    <w:right w:val="none" w:sz="0" w:space="0" w:color="auto"/>
                  </w:divBdr>
                </w:div>
                <w:div w:id="1325014595">
                  <w:marLeft w:val="2160"/>
                  <w:marRight w:val="0"/>
                  <w:marTop w:val="0"/>
                  <w:marBottom w:val="101"/>
                  <w:divBdr>
                    <w:top w:val="none" w:sz="0" w:space="0" w:color="auto"/>
                    <w:left w:val="none" w:sz="0" w:space="0" w:color="auto"/>
                    <w:bottom w:val="none" w:sz="0" w:space="0" w:color="auto"/>
                    <w:right w:val="none" w:sz="0" w:space="0" w:color="auto"/>
                  </w:divBdr>
                </w:div>
                <w:div w:id="341317310">
                  <w:marLeft w:val="2160"/>
                  <w:marRight w:val="0"/>
                  <w:marTop w:val="0"/>
                  <w:marBottom w:val="101"/>
                  <w:divBdr>
                    <w:top w:val="none" w:sz="0" w:space="0" w:color="auto"/>
                    <w:left w:val="none" w:sz="0" w:space="0" w:color="auto"/>
                    <w:bottom w:val="none" w:sz="0" w:space="0" w:color="auto"/>
                    <w:right w:val="none" w:sz="0" w:space="0" w:color="auto"/>
                  </w:divBdr>
                </w:div>
                <w:div w:id="83917750">
                  <w:marLeft w:val="2160"/>
                  <w:marRight w:val="0"/>
                  <w:marTop w:val="0"/>
                  <w:marBottom w:val="101"/>
                  <w:divBdr>
                    <w:top w:val="none" w:sz="0" w:space="0" w:color="auto"/>
                    <w:left w:val="none" w:sz="0" w:space="0" w:color="auto"/>
                    <w:bottom w:val="none" w:sz="0" w:space="0" w:color="auto"/>
                    <w:right w:val="none" w:sz="0" w:space="0" w:color="auto"/>
                  </w:divBdr>
                </w:div>
                <w:div w:id="875891754">
                  <w:marLeft w:val="2160"/>
                  <w:marRight w:val="0"/>
                  <w:marTop w:val="0"/>
                  <w:marBottom w:val="101"/>
                  <w:divBdr>
                    <w:top w:val="none" w:sz="0" w:space="0" w:color="auto"/>
                    <w:left w:val="none" w:sz="0" w:space="0" w:color="auto"/>
                    <w:bottom w:val="none" w:sz="0" w:space="0" w:color="auto"/>
                    <w:right w:val="none" w:sz="0" w:space="0" w:color="auto"/>
                  </w:divBdr>
                </w:div>
                <w:div w:id="598686042">
                  <w:marLeft w:val="2160"/>
                  <w:marRight w:val="0"/>
                  <w:marTop w:val="0"/>
                  <w:marBottom w:val="101"/>
                  <w:divBdr>
                    <w:top w:val="none" w:sz="0" w:space="0" w:color="auto"/>
                    <w:left w:val="none" w:sz="0" w:space="0" w:color="auto"/>
                    <w:bottom w:val="none" w:sz="0" w:space="0" w:color="auto"/>
                    <w:right w:val="none" w:sz="0" w:space="0" w:color="auto"/>
                  </w:divBdr>
                </w:div>
                <w:div w:id="1277174989">
                  <w:marLeft w:val="2160"/>
                  <w:marRight w:val="0"/>
                  <w:marTop w:val="0"/>
                  <w:marBottom w:val="101"/>
                  <w:divBdr>
                    <w:top w:val="none" w:sz="0" w:space="0" w:color="auto"/>
                    <w:left w:val="none" w:sz="0" w:space="0" w:color="auto"/>
                    <w:bottom w:val="none" w:sz="0" w:space="0" w:color="auto"/>
                    <w:right w:val="none" w:sz="0" w:space="0" w:color="auto"/>
                  </w:divBdr>
                </w:div>
                <w:div w:id="1663311376">
                  <w:marLeft w:val="2160"/>
                  <w:marRight w:val="0"/>
                  <w:marTop w:val="0"/>
                  <w:marBottom w:val="101"/>
                  <w:divBdr>
                    <w:top w:val="none" w:sz="0" w:space="0" w:color="auto"/>
                    <w:left w:val="none" w:sz="0" w:space="0" w:color="auto"/>
                    <w:bottom w:val="none" w:sz="0" w:space="0" w:color="auto"/>
                    <w:right w:val="none" w:sz="0" w:space="0" w:color="auto"/>
                  </w:divBdr>
                </w:div>
                <w:div w:id="1437991180">
                  <w:marLeft w:val="2160"/>
                  <w:marRight w:val="0"/>
                  <w:marTop w:val="0"/>
                  <w:marBottom w:val="101"/>
                  <w:divBdr>
                    <w:top w:val="none" w:sz="0" w:space="0" w:color="auto"/>
                    <w:left w:val="none" w:sz="0" w:space="0" w:color="auto"/>
                    <w:bottom w:val="none" w:sz="0" w:space="0" w:color="auto"/>
                    <w:right w:val="none" w:sz="0" w:space="0" w:color="auto"/>
                  </w:divBdr>
                </w:div>
                <w:div w:id="828716486">
                  <w:marLeft w:val="2160"/>
                  <w:marRight w:val="0"/>
                  <w:marTop w:val="0"/>
                  <w:marBottom w:val="101"/>
                  <w:divBdr>
                    <w:top w:val="none" w:sz="0" w:space="0" w:color="auto"/>
                    <w:left w:val="none" w:sz="0" w:space="0" w:color="auto"/>
                    <w:bottom w:val="none" w:sz="0" w:space="0" w:color="auto"/>
                    <w:right w:val="none" w:sz="0" w:space="0" w:color="auto"/>
                  </w:divBdr>
                </w:div>
                <w:div w:id="1925458231">
                  <w:marLeft w:val="2160"/>
                  <w:marRight w:val="0"/>
                  <w:marTop w:val="0"/>
                  <w:marBottom w:val="101"/>
                  <w:divBdr>
                    <w:top w:val="none" w:sz="0" w:space="0" w:color="auto"/>
                    <w:left w:val="none" w:sz="0" w:space="0" w:color="auto"/>
                    <w:bottom w:val="none" w:sz="0" w:space="0" w:color="auto"/>
                    <w:right w:val="none" w:sz="0" w:space="0" w:color="auto"/>
                  </w:divBdr>
                </w:div>
                <w:div w:id="1091004016">
                  <w:marLeft w:val="1440"/>
                  <w:marRight w:val="0"/>
                  <w:marTop w:val="0"/>
                  <w:marBottom w:val="101"/>
                  <w:divBdr>
                    <w:top w:val="none" w:sz="0" w:space="0" w:color="auto"/>
                    <w:left w:val="none" w:sz="0" w:space="0" w:color="auto"/>
                    <w:bottom w:val="none" w:sz="0" w:space="0" w:color="auto"/>
                    <w:right w:val="none" w:sz="0" w:space="0" w:color="auto"/>
                  </w:divBdr>
                </w:div>
                <w:div w:id="2070153898">
                  <w:marLeft w:val="1440"/>
                  <w:marRight w:val="0"/>
                  <w:marTop w:val="0"/>
                  <w:marBottom w:val="101"/>
                  <w:divBdr>
                    <w:top w:val="none" w:sz="0" w:space="0" w:color="auto"/>
                    <w:left w:val="none" w:sz="0" w:space="0" w:color="auto"/>
                    <w:bottom w:val="none" w:sz="0" w:space="0" w:color="auto"/>
                    <w:right w:val="none" w:sz="0" w:space="0" w:color="auto"/>
                  </w:divBdr>
                </w:div>
                <w:div w:id="505249530">
                  <w:marLeft w:val="1440"/>
                  <w:marRight w:val="0"/>
                  <w:marTop w:val="0"/>
                  <w:marBottom w:val="101"/>
                  <w:divBdr>
                    <w:top w:val="none" w:sz="0" w:space="0" w:color="auto"/>
                    <w:left w:val="none" w:sz="0" w:space="0" w:color="auto"/>
                    <w:bottom w:val="none" w:sz="0" w:space="0" w:color="auto"/>
                    <w:right w:val="none" w:sz="0" w:space="0" w:color="auto"/>
                  </w:divBdr>
                </w:div>
                <w:div w:id="1585529962">
                  <w:marLeft w:val="1440"/>
                  <w:marRight w:val="0"/>
                  <w:marTop w:val="0"/>
                  <w:marBottom w:val="101"/>
                  <w:divBdr>
                    <w:top w:val="none" w:sz="0" w:space="0" w:color="auto"/>
                    <w:left w:val="none" w:sz="0" w:space="0" w:color="auto"/>
                    <w:bottom w:val="none" w:sz="0" w:space="0" w:color="auto"/>
                    <w:right w:val="none" w:sz="0" w:space="0" w:color="auto"/>
                  </w:divBdr>
                </w:div>
                <w:div w:id="851381541">
                  <w:marLeft w:val="1440"/>
                  <w:marRight w:val="0"/>
                  <w:marTop w:val="0"/>
                  <w:marBottom w:val="101"/>
                  <w:divBdr>
                    <w:top w:val="none" w:sz="0" w:space="0" w:color="auto"/>
                    <w:left w:val="none" w:sz="0" w:space="0" w:color="auto"/>
                    <w:bottom w:val="none" w:sz="0" w:space="0" w:color="auto"/>
                    <w:right w:val="none" w:sz="0" w:space="0" w:color="auto"/>
                  </w:divBdr>
                </w:div>
                <w:div w:id="1250583327">
                  <w:marLeft w:val="1440"/>
                  <w:marRight w:val="0"/>
                  <w:marTop w:val="0"/>
                  <w:marBottom w:val="60"/>
                  <w:divBdr>
                    <w:top w:val="none" w:sz="0" w:space="0" w:color="auto"/>
                    <w:left w:val="none" w:sz="0" w:space="0" w:color="auto"/>
                    <w:bottom w:val="none" w:sz="0" w:space="0" w:color="auto"/>
                    <w:right w:val="none" w:sz="0" w:space="0" w:color="auto"/>
                  </w:divBdr>
                </w:div>
                <w:div w:id="1224022364">
                  <w:marLeft w:val="1440"/>
                  <w:marRight w:val="0"/>
                  <w:marTop w:val="0"/>
                  <w:marBottom w:val="60"/>
                  <w:divBdr>
                    <w:top w:val="none" w:sz="0" w:space="0" w:color="auto"/>
                    <w:left w:val="none" w:sz="0" w:space="0" w:color="auto"/>
                    <w:bottom w:val="none" w:sz="0" w:space="0" w:color="auto"/>
                    <w:right w:val="none" w:sz="0" w:space="0" w:color="auto"/>
                  </w:divBdr>
                </w:div>
                <w:div w:id="1882588495">
                  <w:marLeft w:val="1440"/>
                  <w:marRight w:val="0"/>
                  <w:marTop w:val="0"/>
                  <w:marBottom w:val="60"/>
                  <w:divBdr>
                    <w:top w:val="none" w:sz="0" w:space="0" w:color="auto"/>
                    <w:left w:val="none" w:sz="0" w:space="0" w:color="auto"/>
                    <w:bottom w:val="none" w:sz="0" w:space="0" w:color="auto"/>
                    <w:right w:val="none" w:sz="0" w:space="0" w:color="auto"/>
                  </w:divBdr>
                </w:div>
                <w:div w:id="1129012684">
                  <w:marLeft w:val="2160"/>
                  <w:marRight w:val="0"/>
                  <w:marTop w:val="0"/>
                  <w:marBottom w:val="60"/>
                  <w:divBdr>
                    <w:top w:val="none" w:sz="0" w:space="0" w:color="auto"/>
                    <w:left w:val="none" w:sz="0" w:space="0" w:color="auto"/>
                    <w:bottom w:val="none" w:sz="0" w:space="0" w:color="auto"/>
                    <w:right w:val="none" w:sz="0" w:space="0" w:color="auto"/>
                  </w:divBdr>
                </w:div>
                <w:div w:id="1890608123">
                  <w:marLeft w:val="2160"/>
                  <w:marRight w:val="0"/>
                  <w:marTop w:val="0"/>
                  <w:marBottom w:val="60"/>
                  <w:divBdr>
                    <w:top w:val="none" w:sz="0" w:space="0" w:color="auto"/>
                    <w:left w:val="none" w:sz="0" w:space="0" w:color="auto"/>
                    <w:bottom w:val="none" w:sz="0" w:space="0" w:color="auto"/>
                    <w:right w:val="none" w:sz="0" w:space="0" w:color="auto"/>
                  </w:divBdr>
                </w:div>
                <w:div w:id="900673428">
                  <w:marLeft w:val="2160"/>
                  <w:marRight w:val="0"/>
                  <w:marTop w:val="0"/>
                  <w:marBottom w:val="60"/>
                  <w:divBdr>
                    <w:top w:val="none" w:sz="0" w:space="0" w:color="auto"/>
                    <w:left w:val="none" w:sz="0" w:space="0" w:color="auto"/>
                    <w:bottom w:val="none" w:sz="0" w:space="0" w:color="auto"/>
                    <w:right w:val="none" w:sz="0" w:space="0" w:color="auto"/>
                  </w:divBdr>
                </w:div>
                <w:div w:id="1750736758">
                  <w:marLeft w:val="2160"/>
                  <w:marRight w:val="0"/>
                  <w:marTop w:val="0"/>
                  <w:marBottom w:val="60"/>
                  <w:divBdr>
                    <w:top w:val="none" w:sz="0" w:space="0" w:color="auto"/>
                    <w:left w:val="none" w:sz="0" w:space="0" w:color="auto"/>
                    <w:bottom w:val="none" w:sz="0" w:space="0" w:color="auto"/>
                    <w:right w:val="none" w:sz="0" w:space="0" w:color="auto"/>
                  </w:divBdr>
                </w:div>
                <w:div w:id="1899122061">
                  <w:marLeft w:val="2160"/>
                  <w:marRight w:val="0"/>
                  <w:marTop w:val="0"/>
                  <w:marBottom w:val="60"/>
                  <w:divBdr>
                    <w:top w:val="none" w:sz="0" w:space="0" w:color="auto"/>
                    <w:left w:val="none" w:sz="0" w:space="0" w:color="auto"/>
                    <w:bottom w:val="none" w:sz="0" w:space="0" w:color="auto"/>
                    <w:right w:val="none" w:sz="0" w:space="0" w:color="auto"/>
                  </w:divBdr>
                </w:div>
                <w:div w:id="1042945327">
                  <w:marLeft w:val="2160"/>
                  <w:marRight w:val="0"/>
                  <w:marTop w:val="0"/>
                  <w:marBottom w:val="60"/>
                  <w:divBdr>
                    <w:top w:val="none" w:sz="0" w:space="0" w:color="auto"/>
                    <w:left w:val="none" w:sz="0" w:space="0" w:color="auto"/>
                    <w:bottom w:val="none" w:sz="0" w:space="0" w:color="auto"/>
                    <w:right w:val="none" w:sz="0" w:space="0" w:color="auto"/>
                  </w:divBdr>
                </w:div>
                <w:div w:id="1134371468">
                  <w:marLeft w:val="1440"/>
                  <w:marRight w:val="0"/>
                  <w:marTop w:val="0"/>
                  <w:marBottom w:val="60"/>
                  <w:divBdr>
                    <w:top w:val="none" w:sz="0" w:space="0" w:color="auto"/>
                    <w:left w:val="none" w:sz="0" w:space="0" w:color="auto"/>
                    <w:bottom w:val="none" w:sz="0" w:space="0" w:color="auto"/>
                    <w:right w:val="none" w:sz="0" w:space="0" w:color="auto"/>
                  </w:divBdr>
                </w:div>
                <w:div w:id="1663390002">
                  <w:marLeft w:val="1440"/>
                  <w:marRight w:val="0"/>
                  <w:marTop w:val="0"/>
                  <w:marBottom w:val="60"/>
                  <w:divBdr>
                    <w:top w:val="none" w:sz="0" w:space="0" w:color="auto"/>
                    <w:left w:val="none" w:sz="0" w:space="0" w:color="auto"/>
                    <w:bottom w:val="none" w:sz="0" w:space="0" w:color="auto"/>
                    <w:right w:val="none" w:sz="0" w:space="0" w:color="auto"/>
                  </w:divBdr>
                </w:div>
                <w:div w:id="933218">
                  <w:marLeft w:val="1440"/>
                  <w:marRight w:val="0"/>
                  <w:marTop w:val="0"/>
                  <w:marBottom w:val="60"/>
                  <w:divBdr>
                    <w:top w:val="none" w:sz="0" w:space="0" w:color="auto"/>
                    <w:left w:val="none" w:sz="0" w:space="0" w:color="auto"/>
                    <w:bottom w:val="none" w:sz="0" w:space="0" w:color="auto"/>
                    <w:right w:val="none" w:sz="0" w:space="0" w:color="auto"/>
                  </w:divBdr>
                </w:div>
                <w:div w:id="1838232819">
                  <w:marLeft w:val="1440"/>
                  <w:marRight w:val="0"/>
                  <w:marTop w:val="0"/>
                  <w:marBottom w:val="60"/>
                  <w:divBdr>
                    <w:top w:val="none" w:sz="0" w:space="0" w:color="auto"/>
                    <w:left w:val="none" w:sz="0" w:space="0" w:color="auto"/>
                    <w:bottom w:val="none" w:sz="0" w:space="0" w:color="auto"/>
                    <w:right w:val="none" w:sz="0" w:space="0" w:color="auto"/>
                  </w:divBdr>
                </w:div>
                <w:div w:id="1836189250">
                  <w:marLeft w:val="1440"/>
                  <w:marRight w:val="0"/>
                  <w:marTop w:val="0"/>
                  <w:marBottom w:val="60"/>
                  <w:divBdr>
                    <w:top w:val="none" w:sz="0" w:space="0" w:color="auto"/>
                    <w:left w:val="none" w:sz="0" w:space="0" w:color="auto"/>
                    <w:bottom w:val="none" w:sz="0" w:space="0" w:color="auto"/>
                    <w:right w:val="none" w:sz="0" w:space="0" w:color="auto"/>
                  </w:divBdr>
                </w:div>
                <w:div w:id="226917261">
                  <w:marLeft w:val="1440"/>
                  <w:marRight w:val="0"/>
                  <w:marTop w:val="0"/>
                  <w:marBottom w:val="60"/>
                  <w:divBdr>
                    <w:top w:val="none" w:sz="0" w:space="0" w:color="auto"/>
                    <w:left w:val="none" w:sz="0" w:space="0" w:color="auto"/>
                    <w:bottom w:val="none" w:sz="0" w:space="0" w:color="auto"/>
                    <w:right w:val="none" w:sz="0" w:space="0" w:color="auto"/>
                  </w:divBdr>
                </w:div>
                <w:div w:id="243226667">
                  <w:marLeft w:val="2160"/>
                  <w:marRight w:val="0"/>
                  <w:marTop w:val="0"/>
                  <w:marBottom w:val="60"/>
                  <w:divBdr>
                    <w:top w:val="none" w:sz="0" w:space="0" w:color="auto"/>
                    <w:left w:val="none" w:sz="0" w:space="0" w:color="auto"/>
                    <w:bottom w:val="none" w:sz="0" w:space="0" w:color="auto"/>
                    <w:right w:val="none" w:sz="0" w:space="0" w:color="auto"/>
                  </w:divBdr>
                </w:div>
                <w:div w:id="509222379">
                  <w:marLeft w:val="2160"/>
                  <w:marRight w:val="0"/>
                  <w:marTop w:val="0"/>
                  <w:marBottom w:val="60"/>
                  <w:divBdr>
                    <w:top w:val="none" w:sz="0" w:space="0" w:color="auto"/>
                    <w:left w:val="none" w:sz="0" w:space="0" w:color="auto"/>
                    <w:bottom w:val="none" w:sz="0" w:space="0" w:color="auto"/>
                    <w:right w:val="none" w:sz="0" w:space="0" w:color="auto"/>
                  </w:divBdr>
                </w:div>
                <w:div w:id="1113675163">
                  <w:marLeft w:val="2160"/>
                  <w:marRight w:val="0"/>
                  <w:marTop w:val="0"/>
                  <w:marBottom w:val="101"/>
                  <w:divBdr>
                    <w:top w:val="none" w:sz="0" w:space="0" w:color="auto"/>
                    <w:left w:val="none" w:sz="0" w:space="0" w:color="auto"/>
                    <w:bottom w:val="none" w:sz="0" w:space="0" w:color="auto"/>
                    <w:right w:val="none" w:sz="0" w:space="0" w:color="auto"/>
                  </w:divBdr>
                </w:div>
                <w:div w:id="979580738">
                  <w:marLeft w:val="2160"/>
                  <w:marRight w:val="0"/>
                  <w:marTop w:val="0"/>
                  <w:marBottom w:val="101"/>
                  <w:divBdr>
                    <w:top w:val="none" w:sz="0" w:space="0" w:color="auto"/>
                    <w:left w:val="none" w:sz="0" w:space="0" w:color="auto"/>
                    <w:bottom w:val="none" w:sz="0" w:space="0" w:color="auto"/>
                    <w:right w:val="none" w:sz="0" w:space="0" w:color="auto"/>
                  </w:divBdr>
                </w:div>
                <w:div w:id="2134903715">
                  <w:marLeft w:val="2160"/>
                  <w:marRight w:val="0"/>
                  <w:marTop w:val="0"/>
                  <w:marBottom w:val="101"/>
                  <w:divBdr>
                    <w:top w:val="none" w:sz="0" w:space="0" w:color="auto"/>
                    <w:left w:val="none" w:sz="0" w:space="0" w:color="auto"/>
                    <w:bottom w:val="none" w:sz="0" w:space="0" w:color="auto"/>
                    <w:right w:val="none" w:sz="0" w:space="0" w:color="auto"/>
                  </w:divBdr>
                </w:div>
                <w:div w:id="2036038595">
                  <w:marLeft w:val="2160"/>
                  <w:marRight w:val="0"/>
                  <w:marTop w:val="0"/>
                  <w:marBottom w:val="101"/>
                  <w:divBdr>
                    <w:top w:val="none" w:sz="0" w:space="0" w:color="auto"/>
                    <w:left w:val="none" w:sz="0" w:space="0" w:color="auto"/>
                    <w:bottom w:val="none" w:sz="0" w:space="0" w:color="auto"/>
                    <w:right w:val="none" w:sz="0" w:space="0" w:color="auto"/>
                  </w:divBdr>
                </w:div>
                <w:div w:id="282422384">
                  <w:marLeft w:val="2160"/>
                  <w:marRight w:val="0"/>
                  <w:marTop w:val="0"/>
                  <w:marBottom w:val="101"/>
                  <w:divBdr>
                    <w:top w:val="none" w:sz="0" w:space="0" w:color="auto"/>
                    <w:left w:val="none" w:sz="0" w:space="0" w:color="auto"/>
                    <w:bottom w:val="none" w:sz="0" w:space="0" w:color="auto"/>
                    <w:right w:val="none" w:sz="0" w:space="0" w:color="auto"/>
                  </w:divBdr>
                </w:div>
                <w:div w:id="561906797">
                  <w:marLeft w:val="1440"/>
                  <w:marRight w:val="0"/>
                  <w:marTop w:val="0"/>
                  <w:marBottom w:val="101"/>
                  <w:divBdr>
                    <w:top w:val="none" w:sz="0" w:space="0" w:color="auto"/>
                    <w:left w:val="none" w:sz="0" w:space="0" w:color="auto"/>
                    <w:bottom w:val="none" w:sz="0" w:space="0" w:color="auto"/>
                    <w:right w:val="none" w:sz="0" w:space="0" w:color="auto"/>
                  </w:divBdr>
                </w:div>
                <w:div w:id="1553152409">
                  <w:marLeft w:val="1440"/>
                  <w:marRight w:val="0"/>
                  <w:marTop w:val="0"/>
                  <w:marBottom w:val="101"/>
                  <w:divBdr>
                    <w:top w:val="none" w:sz="0" w:space="0" w:color="auto"/>
                    <w:left w:val="none" w:sz="0" w:space="0" w:color="auto"/>
                    <w:bottom w:val="none" w:sz="0" w:space="0" w:color="auto"/>
                    <w:right w:val="none" w:sz="0" w:space="0" w:color="auto"/>
                  </w:divBdr>
                </w:div>
                <w:div w:id="1310095039">
                  <w:marLeft w:val="1440"/>
                  <w:marRight w:val="0"/>
                  <w:marTop w:val="0"/>
                  <w:marBottom w:val="101"/>
                  <w:divBdr>
                    <w:top w:val="none" w:sz="0" w:space="0" w:color="auto"/>
                    <w:left w:val="none" w:sz="0" w:space="0" w:color="auto"/>
                    <w:bottom w:val="none" w:sz="0" w:space="0" w:color="auto"/>
                    <w:right w:val="none" w:sz="0" w:space="0" w:color="auto"/>
                  </w:divBdr>
                </w:div>
                <w:div w:id="409691139">
                  <w:marLeft w:val="1440"/>
                  <w:marRight w:val="0"/>
                  <w:marTop w:val="0"/>
                  <w:marBottom w:val="101"/>
                  <w:divBdr>
                    <w:top w:val="none" w:sz="0" w:space="0" w:color="auto"/>
                    <w:left w:val="none" w:sz="0" w:space="0" w:color="auto"/>
                    <w:bottom w:val="none" w:sz="0" w:space="0" w:color="auto"/>
                    <w:right w:val="none" w:sz="0" w:space="0" w:color="auto"/>
                  </w:divBdr>
                </w:div>
                <w:div w:id="1971090059">
                  <w:marLeft w:val="2160"/>
                  <w:marRight w:val="0"/>
                  <w:marTop w:val="0"/>
                  <w:marBottom w:val="101"/>
                  <w:divBdr>
                    <w:top w:val="none" w:sz="0" w:space="0" w:color="auto"/>
                    <w:left w:val="none" w:sz="0" w:space="0" w:color="auto"/>
                    <w:bottom w:val="none" w:sz="0" w:space="0" w:color="auto"/>
                    <w:right w:val="none" w:sz="0" w:space="0" w:color="auto"/>
                  </w:divBdr>
                </w:div>
                <w:div w:id="1929998507">
                  <w:marLeft w:val="2592"/>
                  <w:marRight w:val="0"/>
                  <w:marTop w:val="0"/>
                  <w:marBottom w:val="101"/>
                  <w:divBdr>
                    <w:top w:val="none" w:sz="0" w:space="0" w:color="auto"/>
                    <w:left w:val="none" w:sz="0" w:space="0" w:color="auto"/>
                    <w:bottom w:val="none" w:sz="0" w:space="0" w:color="auto"/>
                    <w:right w:val="none" w:sz="0" w:space="0" w:color="auto"/>
                  </w:divBdr>
                </w:div>
                <w:div w:id="193423326">
                  <w:marLeft w:val="2592"/>
                  <w:marRight w:val="0"/>
                  <w:marTop w:val="0"/>
                  <w:marBottom w:val="101"/>
                  <w:divBdr>
                    <w:top w:val="none" w:sz="0" w:space="0" w:color="auto"/>
                    <w:left w:val="none" w:sz="0" w:space="0" w:color="auto"/>
                    <w:bottom w:val="none" w:sz="0" w:space="0" w:color="auto"/>
                    <w:right w:val="none" w:sz="0" w:space="0" w:color="auto"/>
                  </w:divBdr>
                </w:div>
                <w:div w:id="1317077423">
                  <w:marLeft w:val="2592"/>
                  <w:marRight w:val="0"/>
                  <w:marTop w:val="0"/>
                  <w:marBottom w:val="101"/>
                  <w:divBdr>
                    <w:top w:val="none" w:sz="0" w:space="0" w:color="auto"/>
                    <w:left w:val="none" w:sz="0" w:space="0" w:color="auto"/>
                    <w:bottom w:val="none" w:sz="0" w:space="0" w:color="auto"/>
                    <w:right w:val="none" w:sz="0" w:space="0" w:color="auto"/>
                  </w:divBdr>
                </w:div>
                <w:div w:id="626202499">
                  <w:marLeft w:val="2592"/>
                  <w:marRight w:val="0"/>
                  <w:marTop w:val="0"/>
                  <w:marBottom w:val="101"/>
                  <w:divBdr>
                    <w:top w:val="none" w:sz="0" w:space="0" w:color="auto"/>
                    <w:left w:val="none" w:sz="0" w:space="0" w:color="auto"/>
                    <w:bottom w:val="none" w:sz="0" w:space="0" w:color="auto"/>
                    <w:right w:val="none" w:sz="0" w:space="0" w:color="auto"/>
                  </w:divBdr>
                </w:div>
                <w:div w:id="505021044">
                  <w:marLeft w:val="2160"/>
                  <w:marRight w:val="0"/>
                  <w:marTop w:val="0"/>
                  <w:marBottom w:val="101"/>
                  <w:divBdr>
                    <w:top w:val="none" w:sz="0" w:space="0" w:color="auto"/>
                    <w:left w:val="none" w:sz="0" w:space="0" w:color="auto"/>
                    <w:bottom w:val="none" w:sz="0" w:space="0" w:color="auto"/>
                    <w:right w:val="none" w:sz="0" w:space="0" w:color="auto"/>
                  </w:divBdr>
                </w:div>
                <w:div w:id="642007568">
                  <w:marLeft w:val="2160"/>
                  <w:marRight w:val="0"/>
                  <w:marTop w:val="0"/>
                  <w:marBottom w:val="101"/>
                  <w:divBdr>
                    <w:top w:val="none" w:sz="0" w:space="0" w:color="auto"/>
                    <w:left w:val="none" w:sz="0" w:space="0" w:color="auto"/>
                    <w:bottom w:val="none" w:sz="0" w:space="0" w:color="auto"/>
                    <w:right w:val="none" w:sz="0" w:space="0" w:color="auto"/>
                  </w:divBdr>
                </w:div>
                <w:div w:id="98533077">
                  <w:marLeft w:val="2592"/>
                  <w:marRight w:val="0"/>
                  <w:marTop w:val="0"/>
                  <w:marBottom w:val="101"/>
                  <w:divBdr>
                    <w:top w:val="none" w:sz="0" w:space="0" w:color="auto"/>
                    <w:left w:val="none" w:sz="0" w:space="0" w:color="auto"/>
                    <w:bottom w:val="none" w:sz="0" w:space="0" w:color="auto"/>
                    <w:right w:val="none" w:sz="0" w:space="0" w:color="auto"/>
                  </w:divBdr>
                </w:div>
                <w:div w:id="1342588093">
                  <w:marLeft w:val="2592"/>
                  <w:marRight w:val="0"/>
                  <w:marTop w:val="0"/>
                  <w:marBottom w:val="101"/>
                  <w:divBdr>
                    <w:top w:val="none" w:sz="0" w:space="0" w:color="auto"/>
                    <w:left w:val="none" w:sz="0" w:space="0" w:color="auto"/>
                    <w:bottom w:val="none" w:sz="0" w:space="0" w:color="auto"/>
                    <w:right w:val="none" w:sz="0" w:space="0" w:color="auto"/>
                  </w:divBdr>
                </w:div>
                <w:div w:id="729503418">
                  <w:marLeft w:val="2592"/>
                  <w:marRight w:val="0"/>
                  <w:marTop w:val="0"/>
                  <w:marBottom w:val="101"/>
                  <w:divBdr>
                    <w:top w:val="none" w:sz="0" w:space="0" w:color="auto"/>
                    <w:left w:val="none" w:sz="0" w:space="0" w:color="auto"/>
                    <w:bottom w:val="none" w:sz="0" w:space="0" w:color="auto"/>
                    <w:right w:val="none" w:sz="0" w:space="0" w:color="auto"/>
                  </w:divBdr>
                </w:div>
                <w:div w:id="1242326181">
                  <w:marLeft w:val="2592"/>
                  <w:marRight w:val="0"/>
                  <w:marTop w:val="0"/>
                  <w:marBottom w:val="101"/>
                  <w:divBdr>
                    <w:top w:val="none" w:sz="0" w:space="0" w:color="auto"/>
                    <w:left w:val="none" w:sz="0" w:space="0" w:color="auto"/>
                    <w:bottom w:val="none" w:sz="0" w:space="0" w:color="auto"/>
                    <w:right w:val="none" w:sz="0" w:space="0" w:color="auto"/>
                  </w:divBdr>
                </w:div>
                <w:div w:id="750397619">
                  <w:marLeft w:val="2592"/>
                  <w:marRight w:val="0"/>
                  <w:marTop w:val="0"/>
                  <w:marBottom w:val="101"/>
                  <w:divBdr>
                    <w:top w:val="none" w:sz="0" w:space="0" w:color="auto"/>
                    <w:left w:val="none" w:sz="0" w:space="0" w:color="auto"/>
                    <w:bottom w:val="none" w:sz="0" w:space="0" w:color="auto"/>
                    <w:right w:val="none" w:sz="0" w:space="0" w:color="auto"/>
                  </w:divBdr>
                </w:div>
                <w:div w:id="1616255729">
                  <w:marLeft w:val="2592"/>
                  <w:marRight w:val="0"/>
                  <w:marTop w:val="0"/>
                  <w:marBottom w:val="101"/>
                  <w:divBdr>
                    <w:top w:val="none" w:sz="0" w:space="0" w:color="auto"/>
                    <w:left w:val="none" w:sz="0" w:space="0" w:color="auto"/>
                    <w:bottom w:val="none" w:sz="0" w:space="0" w:color="auto"/>
                    <w:right w:val="none" w:sz="0" w:space="0" w:color="auto"/>
                  </w:divBdr>
                </w:div>
                <w:div w:id="488980330">
                  <w:marLeft w:val="3024"/>
                  <w:marRight w:val="0"/>
                  <w:marTop w:val="0"/>
                  <w:marBottom w:val="101"/>
                  <w:divBdr>
                    <w:top w:val="none" w:sz="0" w:space="0" w:color="auto"/>
                    <w:left w:val="none" w:sz="0" w:space="0" w:color="auto"/>
                    <w:bottom w:val="none" w:sz="0" w:space="0" w:color="auto"/>
                    <w:right w:val="none" w:sz="0" w:space="0" w:color="auto"/>
                  </w:divBdr>
                </w:div>
                <w:div w:id="1346709025">
                  <w:marLeft w:val="3024"/>
                  <w:marRight w:val="0"/>
                  <w:marTop w:val="0"/>
                  <w:marBottom w:val="101"/>
                  <w:divBdr>
                    <w:top w:val="none" w:sz="0" w:space="0" w:color="auto"/>
                    <w:left w:val="none" w:sz="0" w:space="0" w:color="auto"/>
                    <w:bottom w:val="none" w:sz="0" w:space="0" w:color="auto"/>
                    <w:right w:val="none" w:sz="0" w:space="0" w:color="auto"/>
                  </w:divBdr>
                </w:div>
                <w:div w:id="1378092559">
                  <w:marLeft w:val="2592"/>
                  <w:marRight w:val="0"/>
                  <w:marTop w:val="0"/>
                  <w:marBottom w:val="101"/>
                  <w:divBdr>
                    <w:top w:val="none" w:sz="0" w:space="0" w:color="auto"/>
                    <w:left w:val="none" w:sz="0" w:space="0" w:color="auto"/>
                    <w:bottom w:val="none" w:sz="0" w:space="0" w:color="auto"/>
                    <w:right w:val="none" w:sz="0" w:space="0" w:color="auto"/>
                  </w:divBdr>
                </w:div>
                <w:div w:id="51781642">
                  <w:marLeft w:val="2592"/>
                  <w:marRight w:val="0"/>
                  <w:marTop w:val="0"/>
                  <w:marBottom w:val="101"/>
                  <w:divBdr>
                    <w:top w:val="none" w:sz="0" w:space="0" w:color="auto"/>
                    <w:left w:val="none" w:sz="0" w:space="0" w:color="auto"/>
                    <w:bottom w:val="none" w:sz="0" w:space="0" w:color="auto"/>
                    <w:right w:val="none" w:sz="0" w:space="0" w:color="auto"/>
                  </w:divBdr>
                </w:div>
                <w:div w:id="1105420548">
                  <w:marLeft w:val="2592"/>
                  <w:marRight w:val="0"/>
                  <w:marTop w:val="0"/>
                  <w:marBottom w:val="101"/>
                  <w:divBdr>
                    <w:top w:val="none" w:sz="0" w:space="0" w:color="auto"/>
                    <w:left w:val="none" w:sz="0" w:space="0" w:color="auto"/>
                    <w:bottom w:val="none" w:sz="0" w:space="0" w:color="auto"/>
                    <w:right w:val="none" w:sz="0" w:space="0" w:color="auto"/>
                  </w:divBdr>
                </w:div>
                <w:div w:id="1872184217">
                  <w:marLeft w:val="2592"/>
                  <w:marRight w:val="0"/>
                  <w:marTop w:val="0"/>
                  <w:marBottom w:val="101"/>
                  <w:divBdr>
                    <w:top w:val="none" w:sz="0" w:space="0" w:color="auto"/>
                    <w:left w:val="none" w:sz="0" w:space="0" w:color="auto"/>
                    <w:bottom w:val="none" w:sz="0" w:space="0" w:color="auto"/>
                    <w:right w:val="none" w:sz="0" w:space="0" w:color="auto"/>
                  </w:divBdr>
                </w:div>
                <w:div w:id="1913268605">
                  <w:marLeft w:val="2592"/>
                  <w:marRight w:val="0"/>
                  <w:marTop w:val="0"/>
                  <w:marBottom w:val="101"/>
                  <w:divBdr>
                    <w:top w:val="none" w:sz="0" w:space="0" w:color="auto"/>
                    <w:left w:val="none" w:sz="0" w:space="0" w:color="auto"/>
                    <w:bottom w:val="none" w:sz="0" w:space="0" w:color="auto"/>
                    <w:right w:val="none" w:sz="0" w:space="0" w:color="auto"/>
                  </w:divBdr>
                </w:div>
                <w:div w:id="1040740979">
                  <w:marLeft w:val="2592"/>
                  <w:marRight w:val="0"/>
                  <w:marTop w:val="0"/>
                  <w:marBottom w:val="101"/>
                  <w:divBdr>
                    <w:top w:val="none" w:sz="0" w:space="0" w:color="auto"/>
                    <w:left w:val="none" w:sz="0" w:space="0" w:color="auto"/>
                    <w:bottom w:val="none" w:sz="0" w:space="0" w:color="auto"/>
                    <w:right w:val="none" w:sz="0" w:space="0" w:color="auto"/>
                  </w:divBdr>
                </w:div>
                <w:div w:id="1110852097">
                  <w:marLeft w:val="2592"/>
                  <w:marRight w:val="0"/>
                  <w:marTop w:val="0"/>
                  <w:marBottom w:val="101"/>
                  <w:divBdr>
                    <w:top w:val="none" w:sz="0" w:space="0" w:color="auto"/>
                    <w:left w:val="none" w:sz="0" w:space="0" w:color="auto"/>
                    <w:bottom w:val="none" w:sz="0" w:space="0" w:color="auto"/>
                    <w:right w:val="none" w:sz="0" w:space="0" w:color="auto"/>
                  </w:divBdr>
                </w:div>
                <w:div w:id="932979390">
                  <w:marLeft w:val="2592"/>
                  <w:marRight w:val="0"/>
                  <w:marTop w:val="0"/>
                  <w:marBottom w:val="101"/>
                  <w:divBdr>
                    <w:top w:val="none" w:sz="0" w:space="0" w:color="auto"/>
                    <w:left w:val="none" w:sz="0" w:space="0" w:color="auto"/>
                    <w:bottom w:val="none" w:sz="0" w:space="0" w:color="auto"/>
                    <w:right w:val="none" w:sz="0" w:space="0" w:color="auto"/>
                  </w:divBdr>
                </w:div>
                <w:div w:id="1928271176">
                  <w:marLeft w:val="2592"/>
                  <w:marRight w:val="0"/>
                  <w:marTop w:val="0"/>
                  <w:marBottom w:val="101"/>
                  <w:divBdr>
                    <w:top w:val="none" w:sz="0" w:space="0" w:color="auto"/>
                    <w:left w:val="none" w:sz="0" w:space="0" w:color="auto"/>
                    <w:bottom w:val="none" w:sz="0" w:space="0" w:color="auto"/>
                    <w:right w:val="none" w:sz="0" w:space="0" w:color="auto"/>
                  </w:divBdr>
                </w:div>
                <w:div w:id="2088729025">
                  <w:marLeft w:val="3024"/>
                  <w:marRight w:val="0"/>
                  <w:marTop w:val="0"/>
                  <w:marBottom w:val="101"/>
                  <w:divBdr>
                    <w:top w:val="none" w:sz="0" w:space="0" w:color="auto"/>
                    <w:left w:val="none" w:sz="0" w:space="0" w:color="auto"/>
                    <w:bottom w:val="none" w:sz="0" w:space="0" w:color="auto"/>
                    <w:right w:val="none" w:sz="0" w:space="0" w:color="auto"/>
                  </w:divBdr>
                </w:div>
                <w:div w:id="471294156">
                  <w:marLeft w:val="3024"/>
                  <w:marRight w:val="0"/>
                  <w:marTop w:val="0"/>
                  <w:marBottom w:val="101"/>
                  <w:divBdr>
                    <w:top w:val="none" w:sz="0" w:space="0" w:color="auto"/>
                    <w:left w:val="none" w:sz="0" w:space="0" w:color="auto"/>
                    <w:bottom w:val="none" w:sz="0" w:space="0" w:color="auto"/>
                    <w:right w:val="none" w:sz="0" w:space="0" w:color="auto"/>
                  </w:divBdr>
                </w:div>
                <w:div w:id="80025261">
                  <w:marLeft w:val="2592"/>
                  <w:marRight w:val="0"/>
                  <w:marTop w:val="0"/>
                  <w:marBottom w:val="101"/>
                  <w:divBdr>
                    <w:top w:val="none" w:sz="0" w:space="0" w:color="auto"/>
                    <w:left w:val="none" w:sz="0" w:space="0" w:color="auto"/>
                    <w:bottom w:val="none" w:sz="0" w:space="0" w:color="auto"/>
                    <w:right w:val="none" w:sz="0" w:space="0" w:color="auto"/>
                  </w:divBdr>
                </w:div>
                <w:div w:id="1978145078">
                  <w:marLeft w:val="2592"/>
                  <w:marRight w:val="0"/>
                  <w:marTop w:val="0"/>
                  <w:marBottom w:val="101"/>
                  <w:divBdr>
                    <w:top w:val="none" w:sz="0" w:space="0" w:color="auto"/>
                    <w:left w:val="none" w:sz="0" w:space="0" w:color="auto"/>
                    <w:bottom w:val="none" w:sz="0" w:space="0" w:color="auto"/>
                    <w:right w:val="none" w:sz="0" w:space="0" w:color="auto"/>
                  </w:divBdr>
                </w:div>
                <w:div w:id="979529617">
                  <w:marLeft w:val="2592"/>
                  <w:marRight w:val="0"/>
                  <w:marTop w:val="0"/>
                  <w:marBottom w:val="101"/>
                  <w:divBdr>
                    <w:top w:val="none" w:sz="0" w:space="0" w:color="auto"/>
                    <w:left w:val="none" w:sz="0" w:space="0" w:color="auto"/>
                    <w:bottom w:val="none" w:sz="0" w:space="0" w:color="auto"/>
                    <w:right w:val="none" w:sz="0" w:space="0" w:color="auto"/>
                  </w:divBdr>
                </w:div>
                <w:div w:id="600845119">
                  <w:marLeft w:val="2592"/>
                  <w:marRight w:val="0"/>
                  <w:marTop w:val="0"/>
                  <w:marBottom w:val="101"/>
                  <w:divBdr>
                    <w:top w:val="none" w:sz="0" w:space="0" w:color="auto"/>
                    <w:left w:val="none" w:sz="0" w:space="0" w:color="auto"/>
                    <w:bottom w:val="none" w:sz="0" w:space="0" w:color="auto"/>
                    <w:right w:val="none" w:sz="0" w:space="0" w:color="auto"/>
                  </w:divBdr>
                </w:div>
                <w:div w:id="470826575">
                  <w:marLeft w:val="2592"/>
                  <w:marRight w:val="0"/>
                  <w:marTop w:val="0"/>
                  <w:marBottom w:val="101"/>
                  <w:divBdr>
                    <w:top w:val="none" w:sz="0" w:space="0" w:color="auto"/>
                    <w:left w:val="none" w:sz="0" w:space="0" w:color="auto"/>
                    <w:bottom w:val="none" w:sz="0" w:space="0" w:color="auto"/>
                    <w:right w:val="none" w:sz="0" w:space="0" w:color="auto"/>
                  </w:divBdr>
                </w:div>
                <w:div w:id="50201721">
                  <w:marLeft w:val="2160"/>
                  <w:marRight w:val="0"/>
                  <w:marTop w:val="0"/>
                  <w:marBottom w:val="101"/>
                  <w:divBdr>
                    <w:top w:val="none" w:sz="0" w:space="0" w:color="auto"/>
                    <w:left w:val="none" w:sz="0" w:space="0" w:color="auto"/>
                    <w:bottom w:val="none" w:sz="0" w:space="0" w:color="auto"/>
                    <w:right w:val="none" w:sz="0" w:space="0" w:color="auto"/>
                  </w:divBdr>
                </w:div>
                <w:div w:id="450242892">
                  <w:marLeft w:val="2160"/>
                  <w:marRight w:val="0"/>
                  <w:marTop w:val="0"/>
                  <w:marBottom w:val="101"/>
                  <w:divBdr>
                    <w:top w:val="none" w:sz="0" w:space="0" w:color="auto"/>
                    <w:left w:val="none" w:sz="0" w:space="0" w:color="auto"/>
                    <w:bottom w:val="none" w:sz="0" w:space="0" w:color="auto"/>
                    <w:right w:val="none" w:sz="0" w:space="0" w:color="auto"/>
                  </w:divBdr>
                </w:div>
                <w:div w:id="1256597026">
                  <w:marLeft w:val="2160"/>
                  <w:marRight w:val="0"/>
                  <w:marTop w:val="0"/>
                  <w:marBottom w:val="101"/>
                  <w:divBdr>
                    <w:top w:val="none" w:sz="0" w:space="0" w:color="auto"/>
                    <w:left w:val="none" w:sz="0" w:space="0" w:color="auto"/>
                    <w:bottom w:val="none" w:sz="0" w:space="0" w:color="auto"/>
                    <w:right w:val="none" w:sz="0" w:space="0" w:color="auto"/>
                  </w:divBdr>
                </w:div>
                <w:div w:id="1949849625">
                  <w:marLeft w:val="2160"/>
                  <w:marRight w:val="0"/>
                  <w:marTop w:val="0"/>
                  <w:marBottom w:val="101"/>
                  <w:divBdr>
                    <w:top w:val="none" w:sz="0" w:space="0" w:color="auto"/>
                    <w:left w:val="none" w:sz="0" w:space="0" w:color="auto"/>
                    <w:bottom w:val="none" w:sz="0" w:space="0" w:color="auto"/>
                    <w:right w:val="none" w:sz="0" w:space="0" w:color="auto"/>
                  </w:divBdr>
                </w:div>
                <w:div w:id="1603756190">
                  <w:marLeft w:val="1440"/>
                  <w:marRight w:val="0"/>
                  <w:marTop w:val="0"/>
                  <w:marBottom w:val="101"/>
                  <w:divBdr>
                    <w:top w:val="none" w:sz="0" w:space="0" w:color="auto"/>
                    <w:left w:val="none" w:sz="0" w:space="0" w:color="auto"/>
                    <w:bottom w:val="none" w:sz="0" w:space="0" w:color="auto"/>
                    <w:right w:val="none" w:sz="0" w:space="0" w:color="auto"/>
                  </w:divBdr>
                </w:div>
                <w:div w:id="1027566858">
                  <w:marLeft w:val="1440"/>
                  <w:marRight w:val="0"/>
                  <w:marTop w:val="0"/>
                  <w:marBottom w:val="101"/>
                  <w:divBdr>
                    <w:top w:val="none" w:sz="0" w:space="0" w:color="auto"/>
                    <w:left w:val="none" w:sz="0" w:space="0" w:color="auto"/>
                    <w:bottom w:val="none" w:sz="0" w:space="0" w:color="auto"/>
                    <w:right w:val="none" w:sz="0" w:space="0" w:color="auto"/>
                  </w:divBdr>
                </w:div>
                <w:div w:id="957024590">
                  <w:marLeft w:val="1440"/>
                  <w:marRight w:val="0"/>
                  <w:marTop w:val="0"/>
                  <w:marBottom w:val="101"/>
                  <w:divBdr>
                    <w:top w:val="none" w:sz="0" w:space="0" w:color="auto"/>
                    <w:left w:val="none" w:sz="0" w:space="0" w:color="auto"/>
                    <w:bottom w:val="none" w:sz="0" w:space="0" w:color="auto"/>
                    <w:right w:val="none" w:sz="0" w:space="0" w:color="auto"/>
                  </w:divBdr>
                </w:div>
                <w:div w:id="69738752">
                  <w:marLeft w:val="1440"/>
                  <w:marRight w:val="0"/>
                  <w:marTop w:val="0"/>
                  <w:marBottom w:val="101"/>
                  <w:divBdr>
                    <w:top w:val="none" w:sz="0" w:space="0" w:color="auto"/>
                    <w:left w:val="none" w:sz="0" w:space="0" w:color="auto"/>
                    <w:bottom w:val="none" w:sz="0" w:space="0" w:color="auto"/>
                    <w:right w:val="none" w:sz="0" w:space="0" w:color="auto"/>
                  </w:divBdr>
                </w:div>
                <w:div w:id="374894599">
                  <w:marLeft w:val="1440"/>
                  <w:marRight w:val="0"/>
                  <w:marTop w:val="0"/>
                  <w:marBottom w:val="101"/>
                  <w:divBdr>
                    <w:top w:val="none" w:sz="0" w:space="0" w:color="auto"/>
                    <w:left w:val="none" w:sz="0" w:space="0" w:color="auto"/>
                    <w:bottom w:val="none" w:sz="0" w:space="0" w:color="auto"/>
                    <w:right w:val="none" w:sz="0" w:space="0" w:color="auto"/>
                  </w:divBdr>
                </w:div>
                <w:div w:id="1464957324">
                  <w:marLeft w:val="1440"/>
                  <w:marRight w:val="0"/>
                  <w:marTop w:val="0"/>
                  <w:marBottom w:val="101"/>
                  <w:divBdr>
                    <w:top w:val="none" w:sz="0" w:space="0" w:color="auto"/>
                    <w:left w:val="none" w:sz="0" w:space="0" w:color="auto"/>
                    <w:bottom w:val="none" w:sz="0" w:space="0" w:color="auto"/>
                    <w:right w:val="none" w:sz="0" w:space="0" w:color="auto"/>
                  </w:divBdr>
                </w:div>
                <w:div w:id="402609915">
                  <w:marLeft w:val="1440"/>
                  <w:marRight w:val="0"/>
                  <w:marTop w:val="0"/>
                  <w:marBottom w:val="101"/>
                  <w:divBdr>
                    <w:top w:val="none" w:sz="0" w:space="0" w:color="auto"/>
                    <w:left w:val="none" w:sz="0" w:space="0" w:color="auto"/>
                    <w:bottom w:val="none" w:sz="0" w:space="0" w:color="auto"/>
                    <w:right w:val="none" w:sz="0" w:space="0" w:color="auto"/>
                  </w:divBdr>
                </w:div>
                <w:div w:id="1823546934">
                  <w:marLeft w:val="1440"/>
                  <w:marRight w:val="0"/>
                  <w:marTop w:val="0"/>
                  <w:marBottom w:val="101"/>
                  <w:divBdr>
                    <w:top w:val="none" w:sz="0" w:space="0" w:color="auto"/>
                    <w:left w:val="none" w:sz="0" w:space="0" w:color="auto"/>
                    <w:bottom w:val="none" w:sz="0" w:space="0" w:color="auto"/>
                    <w:right w:val="none" w:sz="0" w:space="0" w:color="auto"/>
                  </w:divBdr>
                </w:div>
                <w:div w:id="366419194">
                  <w:marLeft w:val="1440"/>
                  <w:marRight w:val="0"/>
                  <w:marTop w:val="0"/>
                  <w:marBottom w:val="101"/>
                  <w:divBdr>
                    <w:top w:val="none" w:sz="0" w:space="0" w:color="auto"/>
                    <w:left w:val="none" w:sz="0" w:space="0" w:color="auto"/>
                    <w:bottom w:val="none" w:sz="0" w:space="0" w:color="auto"/>
                    <w:right w:val="none" w:sz="0" w:space="0" w:color="auto"/>
                  </w:divBdr>
                </w:div>
                <w:div w:id="810824366">
                  <w:marLeft w:val="1440"/>
                  <w:marRight w:val="0"/>
                  <w:marTop w:val="0"/>
                  <w:marBottom w:val="101"/>
                  <w:divBdr>
                    <w:top w:val="none" w:sz="0" w:space="0" w:color="auto"/>
                    <w:left w:val="none" w:sz="0" w:space="0" w:color="auto"/>
                    <w:bottom w:val="none" w:sz="0" w:space="0" w:color="auto"/>
                    <w:right w:val="none" w:sz="0" w:space="0" w:color="auto"/>
                  </w:divBdr>
                </w:div>
                <w:div w:id="1396272762">
                  <w:marLeft w:val="1440"/>
                  <w:marRight w:val="0"/>
                  <w:marTop w:val="0"/>
                  <w:marBottom w:val="101"/>
                  <w:divBdr>
                    <w:top w:val="none" w:sz="0" w:space="0" w:color="auto"/>
                    <w:left w:val="none" w:sz="0" w:space="0" w:color="auto"/>
                    <w:bottom w:val="none" w:sz="0" w:space="0" w:color="auto"/>
                    <w:right w:val="none" w:sz="0" w:space="0" w:color="auto"/>
                  </w:divBdr>
                </w:div>
                <w:div w:id="1743720957">
                  <w:marLeft w:val="1440"/>
                  <w:marRight w:val="0"/>
                  <w:marTop w:val="0"/>
                  <w:marBottom w:val="101"/>
                  <w:divBdr>
                    <w:top w:val="none" w:sz="0" w:space="0" w:color="auto"/>
                    <w:left w:val="none" w:sz="0" w:space="0" w:color="auto"/>
                    <w:bottom w:val="none" w:sz="0" w:space="0" w:color="auto"/>
                    <w:right w:val="none" w:sz="0" w:space="0" w:color="auto"/>
                  </w:divBdr>
                </w:div>
                <w:div w:id="801507568">
                  <w:marLeft w:val="1440"/>
                  <w:marRight w:val="0"/>
                  <w:marTop w:val="0"/>
                  <w:marBottom w:val="101"/>
                  <w:divBdr>
                    <w:top w:val="none" w:sz="0" w:space="0" w:color="auto"/>
                    <w:left w:val="none" w:sz="0" w:space="0" w:color="auto"/>
                    <w:bottom w:val="none" w:sz="0" w:space="0" w:color="auto"/>
                    <w:right w:val="none" w:sz="0" w:space="0" w:color="auto"/>
                  </w:divBdr>
                </w:div>
                <w:div w:id="1846481541">
                  <w:marLeft w:val="1440"/>
                  <w:marRight w:val="0"/>
                  <w:marTop w:val="0"/>
                  <w:marBottom w:val="101"/>
                  <w:divBdr>
                    <w:top w:val="none" w:sz="0" w:space="0" w:color="auto"/>
                    <w:left w:val="none" w:sz="0" w:space="0" w:color="auto"/>
                    <w:bottom w:val="none" w:sz="0" w:space="0" w:color="auto"/>
                    <w:right w:val="none" w:sz="0" w:space="0" w:color="auto"/>
                  </w:divBdr>
                </w:div>
                <w:div w:id="113180868">
                  <w:marLeft w:val="1440"/>
                  <w:marRight w:val="0"/>
                  <w:marTop w:val="0"/>
                  <w:marBottom w:val="101"/>
                  <w:divBdr>
                    <w:top w:val="none" w:sz="0" w:space="0" w:color="auto"/>
                    <w:left w:val="none" w:sz="0" w:space="0" w:color="auto"/>
                    <w:bottom w:val="none" w:sz="0" w:space="0" w:color="auto"/>
                    <w:right w:val="none" w:sz="0" w:space="0" w:color="auto"/>
                  </w:divBdr>
                </w:div>
                <w:div w:id="1542130628">
                  <w:marLeft w:val="1440"/>
                  <w:marRight w:val="0"/>
                  <w:marTop w:val="0"/>
                  <w:marBottom w:val="101"/>
                  <w:divBdr>
                    <w:top w:val="none" w:sz="0" w:space="0" w:color="auto"/>
                    <w:left w:val="none" w:sz="0" w:space="0" w:color="auto"/>
                    <w:bottom w:val="none" w:sz="0" w:space="0" w:color="auto"/>
                    <w:right w:val="none" w:sz="0" w:space="0" w:color="auto"/>
                  </w:divBdr>
                </w:div>
                <w:div w:id="1736583486">
                  <w:marLeft w:val="1440"/>
                  <w:marRight w:val="0"/>
                  <w:marTop w:val="0"/>
                  <w:marBottom w:val="101"/>
                  <w:divBdr>
                    <w:top w:val="none" w:sz="0" w:space="0" w:color="auto"/>
                    <w:left w:val="none" w:sz="0" w:space="0" w:color="auto"/>
                    <w:bottom w:val="none" w:sz="0" w:space="0" w:color="auto"/>
                    <w:right w:val="none" w:sz="0" w:space="0" w:color="auto"/>
                  </w:divBdr>
                </w:div>
                <w:div w:id="856382398">
                  <w:marLeft w:val="1440"/>
                  <w:marRight w:val="0"/>
                  <w:marTop w:val="0"/>
                  <w:marBottom w:val="101"/>
                  <w:divBdr>
                    <w:top w:val="none" w:sz="0" w:space="0" w:color="auto"/>
                    <w:left w:val="none" w:sz="0" w:space="0" w:color="auto"/>
                    <w:bottom w:val="none" w:sz="0" w:space="0" w:color="auto"/>
                    <w:right w:val="none" w:sz="0" w:space="0" w:color="auto"/>
                  </w:divBdr>
                </w:div>
                <w:div w:id="747730645">
                  <w:marLeft w:val="1440"/>
                  <w:marRight w:val="0"/>
                  <w:marTop w:val="0"/>
                  <w:marBottom w:val="101"/>
                  <w:divBdr>
                    <w:top w:val="none" w:sz="0" w:space="0" w:color="auto"/>
                    <w:left w:val="none" w:sz="0" w:space="0" w:color="auto"/>
                    <w:bottom w:val="none" w:sz="0" w:space="0" w:color="auto"/>
                    <w:right w:val="none" w:sz="0" w:space="0" w:color="auto"/>
                  </w:divBdr>
                </w:div>
                <w:div w:id="2103062824">
                  <w:marLeft w:val="1440"/>
                  <w:marRight w:val="0"/>
                  <w:marTop w:val="0"/>
                  <w:marBottom w:val="101"/>
                  <w:divBdr>
                    <w:top w:val="none" w:sz="0" w:space="0" w:color="auto"/>
                    <w:left w:val="none" w:sz="0" w:space="0" w:color="auto"/>
                    <w:bottom w:val="none" w:sz="0" w:space="0" w:color="auto"/>
                    <w:right w:val="none" w:sz="0" w:space="0" w:color="auto"/>
                  </w:divBdr>
                </w:div>
                <w:div w:id="1856308266">
                  <w:marLeft w:val="1440"/>
                  <w:marRight w:val="0"/>
                  <w:marTop w:val="0"/>
                  <w:marBottom w:val="101"/>
                  <w:divBdr>
                    <w:top w:val="none" w:sz="0" w:space="0" w:color="auto"/>
                    <w:left w:val="none" w:sz="0" w:space="0" w:color="auto"/>
                    <w:bottom w:val="none" w:sz="0" w:space="0" w:color="auto"/>
                    <w:right w:val="none" w:sz="0" w:space="0" w:color="auto"/>
                  </w:divBdr>
                </w:div>
                <w:div w:id="1248884487">
                  <w:marLeft w:val="1440"/>
                  <w:marRight w:val="0"/>
                  <w:marTop w:val="0"/>
                  <w:marBottom w:val="101"/>
                  <w:divBdr>
                    <w:top w:val="none" w:sz="0" w:space="0" w:color="auto"/>
                    <w:left w:val="none" w:sz="0" w:space="0" w:color="auto"/>
                    <w:bottom w:val="none" w:sz="0" w:space="0" w:color="auto"/>
                    <w:right w:val="none" w:sz="0" w:space="0" w:color="auto"/>
                  </w:divBdr>
                </w:div>
                <w:div w:id="2049404473">
                  <w:marLeft w:val="1440"/>
                  <w:marRight w:val="0"/>
                  <w:marTop w:val="0"/>
                  <w:marBottom w:val="101"/>
                  <w:divBdr>
                    <w:top w:val="none" w:sz="0" w:space="0" w:color="auto"/>
                    <w:left w:val="none" w:sz="0" w:space="0" w:color="auto"/>
                    <w:bottom w:val="none" w:sz="0" w:space="0" w:color="auto"/>
                    <w:right w:val="none" w:sz="0" w:space="0" w:color="auto"/>
                  </w:divBdr>
                </w:div>
                <w:div w:id="813565452">
                  <w:marLeft w:val="2160"/>
                  <w:marRight w:val="0"/>
                  <w:marTop w:val="0"/>
                  <w:marBottom w:val="101"/>
                  <w:divBdr>
                    <w:top w:val="none" w:sz="0" w:space="0" w:color="auto"/>
                    <w:left w:val="none" w:sz="0" w:space="0" w:color="auto"/>
                    <w:bottom w:val="none" w:sz="0" w:space="0" w:color="auto"/>
                    <w:right w:val="none" w:sz="0" w:space="0" w:color="auto"/>
                  </w:divBdr>
                </w:div>
                <w:div w:id="1956592763">
                  <w:marLeft w:val="2160"/>
                  <w:marRight w:val="0"/>
                  <w:marTop w:val="0"/>
                  <w:marBottom w:val="64"/>
                  <w:divBdr>
                    <w:top w:val="none" w:sz="0" w:space="0" w:color="auto"/>
                    <w:left w:val="none" w:sz="0" w:space="0" w:color="auto"/>
                    <w:bottom w:val="none" w:sz="0" w:space="0" w:color="auto"/>
                    <w:right w:val="none" w:sz="0" w:space="0" w:color="auto"/>
                  </w:divBdr>
                </w:div>
                <w:div w:id="1514219059">
                  <w:marLeft w:val="2160"/>
                  <w:marRight w:val="0"/>
                  <w:marTop w:val="0"/>
                  <w:marBottom w:val="64"/>
                  <w:divBdr>
                    <w:top w:val="none" w:sz="0" w:space="0" w:color="auto"/>
                    <w:left w:val="none" w:sz="0" w:space="0" w:color="auto"/>
                    <w:bottom w:val="none" w:sz="0" w:space="0" w:color="auto"/>
                    <w:right w:val="none" w:sz="0" w:space="0" w:color="auto"/>
                  </w:divBdr>
                </w:div>
                <w:div w:id="1987472010">
                  <w:marLeft w:val="2160"/>
                  <w:marRight w:val="0"/>
                  <w:marTop w:val="0"/>
                  <w:marBottom w:val="64"/>
                  <w:divBdr>
                    <w:top w:val="none" w:sz="0" w:space="0" w:color="auto"/>
                    <w:left w:val="none" w:sz="0" w:space="0" w:color="auto"/>
                    <w:bottom w:val="none" w:sz="0" w:space="0" w:color="auto"/>
                    <w:right w:val="none" w:sz="0" w:space="0" w:color="auto"/>
                  </w:divBdr>
                </w:div>
                <w:div w:id="1779837970">
                  <w:marLeft w:val="2160"/>
                  <w:marRight w:val="0"/>
                  <w:marTop w:val="0"/>
                  <w:marBottom w:val="64"/>
                  <w:divBdr>
                    <w:top w:val="none" w:sz="0" w:space="0" w:color="auto"/>
                    <w:left w:val="none" w:sz="0" w:space="0" w:color="auto"/>
                    <w:bottom w:val="none" w:sz="0" w:space="0" w:color="auto"/>
                    <w:right w:val="none" w:sz="0" w:space="0" w:color="auto"/>
                  </w:divBdr>
                </w:div>
                <w:div w:id="1072655943">
                  <w:marLeft w:val="2160"/>
                  <w:marRight w:val="0"/>
                  <w:marTop w:val="0"/>
                  <w:marBottom w:val="64"/>
                  <w:divBdr>
                    <w:top w:val="none" w:sz="0" w:space="0" w:color="auto"/>
                    <w:left w:val="none" w:sz="0" w:space="0" w:color="auto"/>
                    <w:bottom w:val="none" w:sz="0" w:space="0" w:color="auto"/>
                    <w:right w:val="none" w:sz="0" w:space="0" w:color="auto"/>
                  </w:divBdr>
                </w:div>
                <w:div w:id="957642362">
                  <w:marLeft w:val="2160"/>
                  <w:marRight w:val="0"/>
                  <w:marTop w:val="0"/>
                  <w:marBottom w:val="64"/>
                  <w:divBdr>
                    <w:top w:val="none" w:sz="0" w:space="0" w:color="auto"/>
                    <w:left w:val="none" w:sz="0" w:space="0" w:color="auto"/>
                    <w:bottom w:val="none" w:sz="0" w:space="0" w:color="auto"/>
                    <w:right w:val="none" w:sz="0" w:space="0" w:color="auto"/>
                  </w:divBdr>
                </w:div>
                <w:div w:id="1658074055">
                  <w:marLeft w:val="1440"/>
                  <w:marRight w:val="0"/>
                  <w:marTop w:val="0"/>
                  <w:marBottom w:val="64"/>
                  <w:divBdr>
                    <w:top w:val="none" w:sz="0" w:space="0" w:color="auto"/>
                    <w:left w:val="none" w:sz="0" w:space="0" w:color="auto"/>
                    <w:bottom w:val="none" w:sz="0" w:space="0" w:color="auto"/>
                    <w:right w:val="none" w:sz="0" w:space="0" w:color="auto"/>
                  </w:divBdr>
                </w:div>
                <w:div w:id="1946770505">
                  <w:marLeft w:val="1440"/>
                  <w:marRight w:val="0"/>
                  <w:marTop w:val="0"/>
                  <w:marBottom w:val="64"/>
                  <w:divBdr>
                    <w:top w:val="none" w:sz="0" w:space="0" w:color="auto"/>
                    <w:left w:val="none" w:sz="0" w:space="0" w:color="auto"/>
                    <w:bottom w:val="none" w:sz="0" w:space="0" w:color="auto"/>
                    <w:right w:val="none" w:sz="0" w:space="0" w:color="auto"/>
                  </w:divBdr>
                </w:div>
                <w:div w:id="201987911">
                  <w:marLeft w:val="1440"/>
                  <w:marRight w:val="0"/>
                  <w:marTop w:val="0"/>
                  <w:marBottom w:val="64"/>
                  <w:divBdr>
                    <w:top w:val="none" w:sz="0" w:space="0" w:color="auto"/>
                    <w:left w:val="none" w:sz="0" w:space="0" w:color="auto"/>
                    <w:bottom w:val="none" w:sz="0" w:space="0" w:color="auto"/>
                    <w:right w:val="none" w:sz="0" w:space="0" w:color="auto"/>
                  </w:divBdr>
                </w:div>
                <w:div w:id="550071327">
                  <w:marLeft w:val="1440"/>
                  <w:marRight w:val="0"/>
                  <w:marTop w:val="0"/>
                  <w:marBottom w:val="64"/>
                  <w:divBdr>
                    <w:top w:val="none" w:sz="0" w:space="0" w:color="auto"/>
                    <w:left w:val="none" w:sz="0" w:space="0" w:color="auto"/>
                    <w:bottom w:val="none" w:sz="0" w:space="0" w:color="auto"/>
                    <w:right w:val="none" w:sz="0" w:space="0" w:color="auto"/>
                  </w:divBdr>
                </w:div>
                <w:div w:id="393158603">
                  <w:marLeft w:val="1440"/>
                  <w:marRight w:val="0"/>
                  <w:marTop w:val="0"/>
                  <w:marBottom w:val="64"/>
                  <w:divBdr>
                    <w:top w:val="none" w:sz="0" w:space="0" w:color="auto"/>
                    <w:left w:val="none" w:sz="0" w:space="0" w:color="auto"/>
                    <w:bottom w:val="none" w:sz="0" w:space="0" w:color="auto"/>
                    <w:right w:val="none" w:sz="0" w:space="0" w:color="auto"/>
                  </w:divBdr>
                </w:div>
                <w:div w:id="880214191">
                  <w:marLeft w:val="2160"/>
                  <w:marRight w:val="0"/>
                  <w:marTop w:val="0"/>
                  <w:marBottom w:val="64"/>
                  <w:divBdr>
                    <w:top w:val="none" w:sz="0" w:space="0" w:color="auto"/>
                    <w:left w:val="none" w:sz="0" w:space="0" w:color="auto"/>
                    <w:bottom w:val="none" w:sz="0" w:space="0" w:color="auto"/>
                    <w:right w:val="none" w:sz="0" w:space="0" w:color="auto"/>
                  </w:divBdr>
                </w:div>
                <w:div w:id="873152388">
                  <w:marLeft w:val="2592"/>
                  <w:marRight w:val="0"/>
                  <w:marTop w:val="0"/>
                  <w:marBottom w:val="64"/>
                  <w:divBdr>
                    <w:top w:val="none" w:sz="0" w:space="0" w:color="auto"/>
                    <w:left w:val="none" w:sz="0" w:space="0" w:color="auto"/>
                    <w:bottom w:val="none" w:sz="0" w:space="0" w:color="auto"/>
                    <w:right w:val="none" w:sz="0" w:space="0" w:color="auto"/>
                  </w:divBdr>
                </w:div>
                <w:div w:id="900288022">
                  <w:marLeft w:val="2592"/>
                  <w:marRight w:val="0"/>
                  <w:marTop w:val="0"/>
                  <w:marBottom w:val="64"/>
                  <w:divBdr>
                    <w:top w:val="none" w:sz="0" w:space="0" w:color="auto"/>
                    <w:left w:val="none" w:sz="0" w:space="0" w:color="auto"/>
                    <w:bottom w:val="none" w:sz="0" w:space="0" w:color="auto"/>
                    <w:right w:val="none" w:sz="0" w:space="0" w:color="auto"/>
                  </w:divBdr>
                </w:div>
                <w:div w:id="1336882520">
                  <w:marLeft w:val="2592"/>
                  <w:marRight w:val="0"/>
                  <w:marTop w:val="0"/>
                  <w:marBottom w:val="64"/>
                  <w:divBdr>
                    <w:top w:val="none" w:sz="0" w:space="0" w:color="auto"/>
                    <w:left w:val="none" w:sz="0" w:space="0" w:color="auto"/>
                    <w:bottom w:val="none" w:sz="0" w:space="0" w:color="auto"/>
                    <w:right w:val="none" w:sz="0" w:space="0" w:color="auto"/>
                  </w:divBdr>
                </w:div>
                <w:div w:id="430901563">
                  <w:marLeft w:val="2160"/>
                  <w:marRight w:val="0"/>
                  <w:marTop w:val="0"/>
                  <w:marBottom w:val="101"/>
                  <w:divBdr>
                    <w:top w:val="none" w:sz="0" w:space="0" w:color="auto"/>
                    <w:left w:val="none" w:sz="0" w:space="0" w:color="auto"/>
                    <w:bottom w:val="none" w:sz="0" w:space="0" w:color="auto"/>
                    <w:right w:val="none" w:sz="0" w:space="0" w:color="auto"/>
                  </w:divBdr>
                </w:div>
                <w:div w:id="711613993">
                  <w:marLeft w:val="2160"/>
                  <w:marRight w:val="0"/>
                  <w:marTop w:val="0"/>
                  <w:marBottom w:val="101"/>
                  <w:divBdr>
                    <w:top w:val="none" w:sz="0" w:space="0" w:color="auto"/>
                    <w:left w:val="none" w:sz="0" w:space="0" w:color="auto"/>
                    <w:bottom w:val="none" w:sz="0" w:space="0" w:color="auto"/>
                    <w:right w:val="none" w:sz="0" w:space="0" w:color="auto"/>
                  </w:divBdr>
                </w:div>
                <w:div w:id="1817409353">
                  <w:marLeft w:val="2592"/>
                  <w:marRight w:val="0"/>
                  <w:marTop w:val="0"/>
                  <w:marBottom w:val="101"/>
                  <w:divBdr>
                    <w:top w:val="none" w:sz="0" w:space="0" w:color="auto"/>
                    <w:left w:val="none" w:sz="0" w:space="0" w:color="auto"/>
                    <w:bottom w:val="none" w:sz="0" w:space="0" w:color="auto"/>
                    <w:right w:val="none" w:sz="0" w:space="0" w:color="auto"/>
                  </w:divBdr>
                </w:div>
                <w:div w:id="1440905167">
                  <w:marLeft w:val="2592"/>
                  <w:marRight w:val="0"/>
                  <w:marTop w:val="0"/>
                  <w:marBottom w:val="101"/>
                  <w:divBdr>
                    <w:top w:val="none" w:sz="0" w:space="0" w:color="auto"/>
                    <w:left w:val="none" w:sz="0" w:space="0" w:color="auto"/>
                    <w:bottom w:val="none" w:sz="0" w:space="0" w:color="auto"/>
                    <w:right w:val="none" w:sz="0" w:space="0" w:color="auto"/>
                  </w:divBdr>
                </w:div>
                <w:div w:id="1773628916">
                  <w:marLeft w:val="2592"/>
                  <w:marRight w:val="0"/>
                  <w:marTop w:val="0"/>
                  <w:marBottom w:val="101"/>
                  <w:divBdr>
                    <w:top w:val="none" w:sz="0" w:space="0" w:color="auto"/>
                    <w:left w:val="none" w:sz="0" w:space="0" w:color="auto"/>
                    <w:bottom w:val="none" w:sz="0" w:space="0" w:color="auto"/>
                    <w:right w:val="none" w:sz="0" w:space="0" w:color="auto"/>
                  </w:divBdr>
                </w:div>
                <w:div w:id="1431968520">
                  <w:marLeft w:val="3024"/>
                  <w:marRight w:val="0"/>
                  <w:marTop w:val="0"/>
                  <w:marBottom w:val="101"/>
                  <w:divBdr>
                    <w:top w:val="none" w:sz="0" w:space="0" w:color="auto"/>
                    <w:left w:val="none" w:sz="0" w:space="0" w:color="auto"/>
                    <w:bottom w:val="none" w:sz="0" w:space="0" w:color="auto"/>
                    <w:right w:val="none" w:sz="0" w:space="0" w:color="auto"/>
                  </w:divBdr>
                </w:div>
                <w:div w:id="52043713">
                  <w:marLeft w:val="3024"/>
                  <w:marRight w:val="0"/>
                  <w:marTop w:val="0"/>
                  <w:marBottom w:val="101"/>
                  <w:divBdr>
                    <w:top w:val="none" w:sz="0" w:space="0" w:color="auto"/>
                    <w:left w:val="none" w:sz="0" w:space="0" w:color="auto"/>
                    <w:bottom w:val="none" w:sz="0" w:space="0" w:color="auto"/>
                    <w:right w:val="none" w:sz="0" w:space="0" w:color="auto"/>
                  </w:divBdr>
                </w:div>
                <w:div w:id="1070075085">
                  <w:marLeft w:val="2160"/>
                  <w:marRight w:val="0"/>
                  <w:marTop w:val="0"/>
                  <w:marBottom w:val="101"/>
                  <w:divBdr>
                    <w:top w:val="none" w:sz="0" w:space="0" w:color="auto"/>
                    <w:left w:val="none" w:sz="0" w:space="0" w:color="auto"/>
                    <w:bottom w:val="none" w:sz="0" w:space="0" w:color="auto"/>
                    <w:right w:val="none" w:sz="0" w:space="0" w:color="auto"/>
                  </w:divBdr>
                </w:div>
                <w:div w:id="333529974">
                  <w:marLeft w:val="1440"/>
                  <w:marRight w:val="0"/>
                  <w:marTop w:val="0"/>
                  <w:marBottom w:val="101"/>
                  <w:divBdr>
                    <w:top w:val="none" w:sz="0" w:space="0" w:color="auto"/>
                    <w:left w:val="none" w:sz="0" w:space="0" w:color="auto"/>
                    <w:bottom w:val="none" w:sz="0" w:space="0" w:color="auto"/>
                    <w:right w:val="none" w:sz="0" w:space="0" w:color="auto"/>
                  </w:divBdr>
                </w:div>
                <w:div w:id="421340749">
                  <w:marLeft w:val="1440"/>
                  <w:marRight w:val="0"/>
                  <w:marTop w:val="0"/>
                  <w:marBottom w:val="101"/>
                  <w:divBdr>
                    <w:top w:val="none" w:sz="0" w:space="0" w:color="auto"/>
                    <w:left w:val="none" w:sz="0" w:space="0" w:color="auto"/>
                    <w:bottom w:val="none" w:sz="0" w:space="0" w:color="auto"/>
                    <w:right w:val="none" w:sz="0" w:space="0" w:color="auto"/>
                  </w:divBdr>
                </w:div>
                <w:div w:id="1488669150">
                  <w:marLeft w:val="1440"/>
                  <w:marRight w:val="0"/>
                  <w:marTop w:val="0"/>
                  <w:marBottom w:val="101"/>
                  <w:divBdr>
                    <w:top w:val="none" w:sz="0" w:space="0" w:color="auto"/>
                    <w:left w:val="none" w:sz="0" w:space="0" w:color="auto"/>
                    <w:bottom w:val="none" w:sz="0" w:space="0" w:color="auto"/>
                    <w:right w:val="none" w:sz="0" w:space="0" w:color="auto"/>
                  </w:divBdr>
                </w:div>
                <w:div w:id="1906917495">
                  <w:marLeft w:val="1440"/>
                  <w:marRight w:val="0"/>
                  <w:marTop w:val="0"/>
                  <w:marBottom w:val="101"/>
                  <w:divBdr>
                    <w:top w:val="none" w:sz="0" w:space="0" w:color="auto"/>
                    <w:left w:val="none" w:sz="0" w:space="0" w:color="auto"/>
                    <w:bottom w:val="none" w:sz="0" w:space="0" w:color="auto"/>
                    <w:right w:val="none" w:sz="0" w:space="0" w:color="auto"/>
                  </w:divBdr>
                </w:div>
                <w:div w:id="588084138">
                  <w:marLeft w:val="1440"/>
                  <w:marRight w:val="0"/>
                  <w:marTop w:val="0"/>
                  <w:marBottom w:val="101"/>
                  <w:divBdr>
                    <w:top w:val="none" w:sz="0" w:space="0" w:color="auto"/>
                    <w:left w:val="none" w:sz="0" w:space="0" w:color="auto"/>
                    <w:bottom w:val="none" w:sz="0" w:space="0" w:color="auto"/>
                    <w:right w:val="none" w:sz="0" w:space="0" w:color="auto"/>
                  </w:divBdr>
                </w:div>
                <w:div w:id="1507668950">
                  <w:marLeft w:val="2160"/>
                  <w:marRight w:val="0"/>
                  <w:marTop w:val="0"/>
                  <w:marBottom w:val="101"/>
                  <w:divBdr>
                    <w:top w:val="none" w:sz="0" w:space="0" w:color="auto"/>
                    <w:left w:val="none" w:sz="0" w:space="0" w:color="auto"/>
                    <w:bottom w:val="none" w:sz="0" w:space="0" w:color="auto"/>
                    <w:right w:val="none" w:sz="0" w:space="0" w:color="auto"/>
                  </w:divBdr>
                </w:div>
                <w:div w:id="689768961">
                  <w:marLeft w:val="2160"/>
                  <w:marRight w:val="0"/>
                  <w:marTop w:val="0"/>
                  <w:marBottom w:val="101"/>
                  <w:divBdr>
                    <w:top w:val="none" w:sz="0" w:space="0" w:color="auto"/>
                    <w:left w:val="none" w:sz="0" w:space="0" w:color="auto"/>
                    <w:bottom w:val="none" w:sz="0" w:space="0" w:color="auto"/>
                    <w:right w:val="none" w:sz="0" w:space="0" w:color="auto"/>
                  </w:divBdr>
                </w:div>
                <w:div w:id="1433432526">
                  <w:marLeft w:val="2160"/>
                  <w:marRight w:val="0"/>
                  <w:marTop w:val="0"/>
                  <w:marBottom w:val="101"/>
                  <w:divBdr>
                    <w:top w:val="none" w:sz="0" w:space="0" w:color="auto"/>
                    <w:left w:val="none" w:sz="0" w:space="0" w:color="auto"/>
                    <w:bottom w:val="none" w:sz="0" w:space="0" w:color="auto"/>
                    <w:right w:val="none" w:sz="0" w:space="0" w:color="auto"/>
                  </w:divBdr>
                </w:div>
                <w:div w:id="322468243">
                  <w:marLeft w:val="2160"/>
                  <w:marRight w:val="0"/>
                  <w:marTop w:val="0"/>
                  <w:marBottom w:val="101"/>
                  <w:divBdr>
                    <w:top w:val="none" w:sz="0" w:space="0" w:color="auto"/>
                    <w:left w:val="none" w:sz="0" w:space="0" w:color="auto"/>
                    <w:bottom w:val="none" w:sz="0" w:space="0" w:color="auto"/>
                    <w:right w:val="none" w:sz="0" w:space="0" w:color="auto"/>
                  </w:divBdr>
                </w:div>
                <w:div w:id="816725636">
                  <w:marLeft w:val="2160"/>
                  <w:marRight w:val="0"/>
                  <w:marTop w:val="0"/>
                  <w:marBottom w:val="101"/>
                  <w:divBdr>
                    <w:top w:val="none" w:sz="0" w:space="0" w:color="auto"/>
                    <w:left w:val="none" w:sz="0" w:space="0" w:color="auto"/>
                    <w:bottom w:val="none" w:sz="0" w:space="0" w:color="auto"/>
                    <w:right w:val="none" w:sz="0" w:space="0" w:color="auto"/>
                  </w:divBdr>
                </w:div>
                <w:div w:id="1960867876">
                  <w:marLeft w:val="2160"/>
                  <w:marRight w:val="0"/>
                  <w:marTop w:val="0"/>
                  <w:marBottom w:val="101"/>
                  <w:divBdr>
                    <w:top w:val="none" w:sz="0" w:space="0" w:color="auto"/>
                    <w:left w:val="none" w:sz="0" w:space="0" w:color="auto"/>
                    <w:bottom w:val="none" w:sz="0" w:space="0" w:color="auto"/>
                    <w:right w:val="none" w:sz="0" w:space="0" w:color="auto"/>
                  </w:divBdr>
                </w:div>
                <w:div w:id="823930656">
                  <w:marLeft w:val="2160"/>
                  <w:marRight w:val="0"/>
                  <w:marTop w:val="0"/>
                  <w:marBottom w:val="101"/>
                  <w:divBdr>
                    <w:top w:val="none" w:sz="0" w:space="0" w:color="auto"/>
                    <w:left w:val="none" w:sz="0" w:space="0" w:color="auto"/>
                    <w:bottom w:val="none" w:sz="0" w:space="0" w:color="auto"/>
                    <w:right w:val="none" w:sz="0" w:space="0" w:color="auto"/>
                  </w:divBdr>
                </w:div>
                <w:div w:id="1837113420">
                  <w:marLeft w:val="2160"/>
                  <w:marRight w:val="0"/>
                  <w:marTop w:val="0"/>
                  <w:marBottom w:val="101"/>
                  <w:divBdr>
                    <w:top w:val="none" w:sz="0" w:space="0" w:color="auto"/>
                    <w:left w:val="none" w:sz="0" w:space="0" w:color="auto"/>
                    <w:bottom w:val="none" w:sz="0" w:space="0" w:color="auto"/>
                    <w:right w:val="none" w:sz="0" w:space="0" w:color="auto"/>
                  </w:divBdr>
                </w:div>
                <w:div w:id="280959739">
                  <w:marLeft w:val="2160"/>
                  <w:marRight w:val="0"/>
                  <w:marTop w:val="0"/>
                  <w:marBottom w:val="101"/>
                  <w:divBdr>
                    <w:top w:val="none" w:sz="0" w:space="0" w:color="auto"/>
                    <w:left w:val="none" w:sz="0" w:space="0" w:color="auto"/>
                    <w:bottom w:val="none" w:sz="0" w:space="0" w:color="auto"/>
                    <w:right w:val="none" w:sz="0" w:space="0" w:color="auto"/>
                  </w:divBdr>
                </w:div>
                <w:div w:id="299262773">
                  <w:marLeft w:val="2160"/>
                  <w:marRight w:val="0"/>
                  <w:marTop w:val="0"/>
                  <w:marBottom w:val="101"/>
                  <w:divBdr>
                    <w:top w:val="none" w:sz="0" w:space="0" w:color="auto"/>
                    <w:left w:val="none" w:sz="0" w:space="0" w:color="auto"/>
                    <w:bottom w:val="none" w:sz="0" w:space="0" w:color="auto"/>
                    <w:right w:val="none" w:sz="0" w:space="0" w:color="auto"/>
                  </w:divBdr>
                </w:div>
                <w:div w:id="59333020">
                  <w:marLeft w:val="2160"/>
                  <w:marRight w:val="0"/>
                  <w:marTop w:val="0"/>
                  <w:marBottom w:val="101"/>
                  <w:divBdr>
                    <w:top w:val="none" w:sz="0" w:space="0" w:color="auto"/>
                    <w:left w:val="none" w:sz="0" w:space="0" w:color="auto"/>
                    <w:bottom w:val="none" w:sz="0" w:space="0" w:color="auto"/>
                    <w:right w:val="none" w:sz="0" w:space="0" w:color="auto"/>
                  </w:divBdr>
                </w:div>
                <w:div w:id="1578786687">
                  <w:marLeft w:val="2592"/>
                  <w:marRight w:val="0"/>
                  <w:marTop w:val="0"/>
                  <w:marBottom w:val="101"/>
                  <w:divBdr>
                    <w:top w:val="none" w:sz="0" w:space="0" w:color="auto"/>
                    <w:left w:val="none" w:sz="0" w:space="0" w:color="auto"/>
                    <w:bottom w:val="none" w:sz="0" w:space="0" w:color="auto"/>
                    <w:right w:val="none" w:sz="0" w:space="0" w:color="auto"/>
                  </w:divBdr>
                </w:div>
                <w:div w:id="810827919">
                  <w:marLeft w:val="2592"/>
                  <w:marRight w:val="0"/>
                  <w:marTop w:val="0"/>
                  <w:marBottom w:val="101"/>
                  <w:divBdr>
                    <w:top w:val="none" w:sz="0" w:space="0" w:color="auto"/>
                    <w:left w:val="none" w:sz="0" w:space="0" w:color="auto"/>
                    <w:bottom w:val="none" w:sz="0" w:space="0" w:color="auto"/>
                    <w:right w:val="none" w:sz="0" w:space="0" w:color="auto"/>
                  </w:divBdr>
                </w:div>
                <w:div w:id="1247030216">
                  <w:marLeft w:val="2592"/>
                  <w:marRight w:val="0"/>
                  <w:marTop w:val="0"/>
                  <w:marBottom w:val="101"/>
                  <w:divBdr>
                    <w:top w:val="none" w:sz="0" w:space="0" w:color="auto"/>
                    <w:left w:val="none" w:sz="0" w:space="0" w:color="auto"/>
                    <w:bottom w:val="none" w:sz="0" w:space="0" w:color="auto"/>
                    <w:right w:val="none" w:sz="0" w:space="0" w:color="auto"/>
                  </w:divBdr>
                </w:div>
                <w:div w:id="808865530">
                  <w:marLeft w:val="2592"/>
                  <w:marRight w:val="0"/>
                  <w:marTop w:val="0"/>
                  <w:marBottom w:val="101"/>
                  <w:divBdr>
                    <w:top w:val="none" w:sz="0" w:space="0" w:color="auto"/>
                    <w:left w:val="none" w:sz="0" w:space="0" w:color="auto"/>
                    <w:bottom w:val="none" w:sz="0" w:space="0" w:color="auto"/>
                    <w:right w:val="none" w:sz="0" w:space="0" w:color="auto"/>
                  </w:divBdr>
                </w:div>
                <w:div w:id="2083943104">
                  <w:marLeft w:val="2592"/>
                  <w:marRight w:val="0"/>
                  <w:marTop w:val="0"/>
                  <w:marBottom w:val="101"/>
                  <w:divBdr>
                    <w:top w:val="none" w:sz="0" w:space="0" w:color="auto"/>
                    <w:left w:val="none" w:sz="0" w:space="0" w:color="auto"/>
                    <w:bottom w:val="none" w:sz="0" w:space="0" w:color="auto"/>
                    <w:right w:val="none" w:sz="0" w:space="0" w:color="auto"/>
                  </w:divBdr>
                </w:div>
                <w:div w:id="1745294614">
                  <w:marLeft w:val="2160"/>
                  <w:marRight w:val="0"/>
                  <w:marTop w:val="0"/>
                  <w:marBottom w:val="101"/>
                  <w:divBdr>
                    <w:top w:val="none" w:sz="0" w:space="0" w:color="auto"/>
                    <w:left w:val="none" w:sz="0" w:space="0" w:color="auto"/>
                    <w:bottom w:val="none" w:sz="0" w:space="0" w:color="auto"/>
                    <w:right w:val="none" w:sz="0" w:space="0" w:color="auto"/>
                  </w:divBdr>
                </w:div>
                <w:div w:id="1979529389">
                  <w:marLeft w:val="2160"/>
                  <w:marRight w:val="0"/>
                  <w:marTop w:val="0"/>
                  <w:marBottom w:val="101"/>
                  <w:divBdr>
                    <w:top w:val="none" w:sz="0" w:space="0" w:color="auto"/>
                    <w:left w:val="none" w:sz="0" w:space="0" w:color="auto"/>
                    <w:bottom w:val="none" w:sz="0" w:space="0" w:color="auto"/>
                    <w:right w:val="none" w:sz="0" w:space="0" w:color="auto"/>
                  </w:divBdr>
                </w:div>
                <w:div w:id="1291352278">
                  <w:marLeft w:val="2160"/>
                  <w:marRight w:val="0"/>
                  <w:marTop w:val="0"/>
                  <w:marBottom w:val="101"/>
                  <w:divBdr>
                    <w:top w:val="none" w:sz="0" w:space="0" w:color="auto"/>
                    <w:left w:val="none" w:sz="0" w:space="0" w:color="auto"/>
                    <w:bottom w:val="none" w:sz="0" w:space="0" w:color="auto"/>
                    <w:right w:val="none" w:sz="0" w:space="0" w:color="auto"/>
                  </w:divBdr>
                </w:div>
                <w:div w:id="1134954292">
                  <w:marLeft w:val="2160"/>
                  <w:marRight w:val="0"/>
                  <w:marTop w:val="0"/>
                  <w:marBottom w:val="101"/>
                  <w:divBdr>
                    <w:top w:val="none" w:sz="0" w:space="0" w:color="auto"/>
                    <w:left w:val="none" w:sz="0" w:space="0" w:color="auto"/>
                    <w:bottom w:val="none" w:sz="0" w:space="0" w:color="auto"/>
                    <w:right w:val="none" w:sz="0" w:space="0" w:color="auto"/>
                  </w:divBdr>
                </w:div>
                <w:div w:id="1863975352">
                  <w:marLeft w:val="1440"/>
                  <w:marRight w:val="0"/>
                  <w:marTop w:val="0"/>
                  <w:marBottom w:val="101"/>
                  <w:divBdr>
                    <w:top w:val="none" w:sz="0" w:space="0" w:color="auto"/>
                    <w:left w:val="none" w:sz="0" w:space="0" w:color="auto"/>
                    <w:bottom w:val="none" w:sz="0" w:space="0" w:color="auto"/>
                    <w:right w:val="none" w:sz="0" w:space="0" w:color="auto"/>
                  </w:divBdr>
                </w:div>
                <w:div w:id="2074086156">
                  <w:marLeft w:val="1440"/>
                  <w:marRight w:val="0"/>
                  <w:marTop w:val="0"/>
                  <w:marBottom w:val="101"/>
                  <w:divBdr>
                    <w:top w:val="none" w:sz="0" w:space="0" w:color="auto"/>
                    <w:left w:val="none" w:sz="0" w:space="0" w:color="auto"/>
                    <w:bottom w:val="none" w:sz="0" w:space="0" w:color="auto"/>
                    <w:right w:val="none" w:sz="0" w:space="0" w:color="auto"/>
                  </w:divBdr>
                </w:div>
                <w:div w:id="1132554759">
                  <w:marLeft w:val="1440"/>
                  <w:marRight w:val="0"/>
                  <w:marTop w:val="0"/>
                  <w:marBottom w:val="101"/>
                  <w:divBdr>
                    <w:top w:val="none" w:sz="0" w:space="0" w:color="auto"/>
                    <w:left w:val="none" w:sz="0" w:space="0" w:color="auto"/>
                    <w:bottom w:val="none" w:sz="0" w:space="0" w:color="auto"/>
                    <w:right w:val="none" w:sz="0" w:space="0" w:color="auto"/>
                  </w:divBdr>
                </w:div>
                <w:div w:id="1037050787">
                  <w:marLeft w:val="2160"/>
                  <w:marRight w:val="0"/>
                  <w:marTop w:val="0"/>
                  <w:marBottom w:val="101"/>
                  <w:divBdr>
                    <w:top w:val="none" w:sz="0" w:space="0" w:color="auto"/>
                    <w:left w:val="none" w:sz="0" w:space="0" w:color="auto"/>
                    <w:bottom w:val="none" w:sz="0" w:space="0" w:color="auto"/>
                    <w:right w:val="none" w:sz="0" w:space="0" w:color="auto"/>
                  </w:divBdr>
                </w:div>
                <w:div w:id="1235504915">
                  <w:marLeft w:val="2160"/>
                  <w:marRight w:val="0"/>
                  <w:marTop w:val="0"/>
                  <w:marBottom w:val="101"/>
                  <w:divBdr>
                    <w:top w:val="none" w:sz="0" w:space="0" w:color="auto"/>
                    <w:left w:val="none" w:sz="0" w:space="0" w:color="auto"/>
                    <w:bottom w:val="none" w:sz="0" w:space="0" w:color="auto"/>
                    <w:right w:val="none" w:sz="0" w:space="0" w:color="auto"/>
                  </w:divBdr>
                </w:div>
                <w:div w:id="418330633">
                  <w:marLeft w:val="1440"/>
                  <w:marRight w:val="0"/>
                  <w:marTop w:val="0"/>
                  <w:marBottom w:val="101"/>
                  <w:divBdr>
                    <w:top w:val="none" w:sz="0" w:space="0" w:color="auto"/>
                    <w:left w:val="none" w:sz="0" w:space="0" w:color="auto"/>
                    <w:bottom w:val="none" w:sz="0" w:space="0" w:color="auto"/>
                    <w:right w:val="none" w:sz="0" w:space="0" w:color="auto"/>
                  </w:divBdr>
                </w:div>
                <w:div w:id="992761764">
                  <w:marLeft w:val="1440"/>
                  <w:marRight w:val="0"/>
                  <w:marTop w:val="0"/>
                  <w:marBottom w:val="101"/>
                  <w:divBdr>
                    <w:top w:val="none" w:sz="0" w:space="0" w:color="auto"/>
                    <w:left w:val="none" w:sz="0" w:space="0" w:color="auto"/>
                    <w:bottom w:val="none" w:sz="0" w:space="0" w:color="auto"/>
                    <w:right w:val="none" w:sz="0" w:space="0" w:color="auto"/>
                  </w:divBdr>
                </w:div>
                <w:div w:id="1441561198">
                  <w:marLeft w:val="1440"/>
                  <w:marRight w:val="0"/>
                  <w:marTop w:val="0"/>
                  <w:marBottom w:val="101"/>
                  <w:divBdr>
                    <w:top w:val="none" w:sz="0" w:space="0" w:color="auto"/>
                    <w:left w:val="none" w:sz="0" w:space="0" w:color="auto"/>
                    <w:bottom w:val="none" w:sz="0" w:space="0" w:color="auto"/>
                    <w:right w:val="none" w:sz="0" w:space="0" w:color="auto"/>
                  </w:divBdr>
                </w:div>
                <w:div w:id="1882014670">
                  <w:marLeft w:val="1440"/>
                  <w:marRight w:val="0"/>
                  <w:marTop w:val="0"/>
                  <w:marBottom w:val="101"/>
                  <w:divBdr>
                    <w:top w:val="none" w:sz="0" w:space="0" w:color="auto"/>
                    <w:left w:val="none" w:sz="0" w:space="0" w:color="auto"/>
                    <w:bottom w:val="none" w:sz="0" w:space="0" w:color="auto"/>
                    <w:right w:val="none" w:sz="0" w:space="0" w:color="auto"/>
                  </w:divBdr>
                </w:div>
                <w:div w:id="1363440341">
                  <w:marLeft w:val="1440"/>
                  <w:marRight w:val="0"/>
                  <w:marTop w:val="0"/>
                  <w:marBottom w:val="101"/>
                  <w:divBdr>
                    <w:top w:val="none" w:sz="0" w:space="0" w:color="auto"/>
                    <w:left w:val="none" w:sz="0" w:space="0" w:color="auto"/>
                    <w:bottom w:val="none" w:sz="0" w:space="0" w:color="auto"/>
                    <w:right w:val="none" w:sz="0" w:space="0" w:color="auto"/>
                  </w:divBdr>
                </w:div>
                <w:div w:id="1936594873">
                  <w:marLeft w:val="1440"/>
                  <w:marRight w:val="0"/>
                  <w:marTop w:val="0"/>
                  <w:marBottom w:val="101"/>
                  <w:divBdr>
                    <w:top w:val="none" w:sz="0" w:space="0" w:color="auto"/>
                    <w:left w:val="none" w:sz="0" w:space="0" w:color="auto"/>
                    <w:bottom w:val="none" w:sz="0" w:space="0" w:color="auto"/>
                    <w:right w:val="none" w:sz="0" w:space="0" w:color="auto"/>
                  </w:divBdr>
                </w:div>
                <w:div w:id="601230081">
                  <w:marLeft w:val="1440"/>
                  <w:marRight w:val="0"/>
                  <w:marTop w:val="0"/>
                  <w:marBottom w:val="101"/>
                  <w:divBdr>
                    <w:top w:val="none" w:sz="0" w:space="0" w:color="auto"/>
                    <w:left w:val="none" w:sz="0" w:space="0" w:color="auto"/>
                    <w:bottom w:val="none" w:sz="0" w:space="0" w:color="auto"/>
                    <w:right w:val="none" w:sz="0" w:space="0" w:color="auto"/>
                  </w:divBdr>
                </w:div>
                <w:div w:id="1022127905">
                  <w:marLeft w:val="1440"/>
                  <w:marRight w:val="0"/>
                  <w:marTop w:val="0"/>
                  <w:marBottom w:val="101"/>
                  <w:divBdr>
                    <w:top w:val="none" w:sz="0" w:space="0" w:color="auto"/>
                    <w:left w:val="none" w:sz="0" w:space="0" w:color="auto"/>
                    <w:bottom w:val="none" w:sz="0" w:space="0" w:color="auto"/>
                    <w:right w:val="none" w:sz="0" w:space="0" w:color="auto"/>
                  </w:divBdr>
                </w:div>
                <w:div w:id="2092308893">
                  <w:marLeft w:val="1440"/>
                  <w:marRight w:val="0"/>
                  <w:marTop w:val="0"/>
                  <w:marBottom w:val="101"/>
                  <w:divBdr>
                    <w:top w:val="none" w:sz="0" w:space="0" w:color="auto"/>
                    <w:left w:val="none" w:sz="0" w:space="0" w:color="auto"/>
                    <w:bottom w:val="none" w:sz="0" w:space="0" w:color="auto"/>
                    <w:right w:val="none" w:sz="0" w:space="0" w:color="auto"/>
                  </w:divBdr>
                </w:div>
                <w:div w:id="639657134">
                  <w:marLeft w:val="1440"/>
                  <w:marRight w:val="0"/>
                  <w:marTop w:val="0"/>
                  <w:marBottom w:val="101"/>
                  <w:divBdr>
                    <w:top w:val="none" w:sz="0" w:space="0" w:color="auto"/>
                    <w:left w:val="none" w:sz="0" w:space="0" w:color="auto"/>
                    <w:bottom w:val="none" w:sz="0" w:space="0" w:color="auto"/>
                    <w:right w:val="none" w:sz="0" w:space="0" w:color="auto"/>
                  </w:divBdr>
                </w:div>
                <w:div w:id="343478481">
                  <w:marLeft w:val="1440"/>
                  <w:marRight w:val="0"/>
                  <w:marTop w:val="0"/>
                  <w:marBottom w:val="101"/>
                  <w:divBdr>
                    <w:top w:val="none" w:sz="0" w:space="0" w:color="auto"/>
                    <w:left w:val="none" w:sz="0" w:space="0" w:color="auto"/>
                    <w:bottom w:val="none" w:sz="0" w:space="0" w:color="auto"/>
                    <w:right w:val="none" w:sz="0" w:space="0" w:color="auto"/>
                  </w:divBdr>
                </w:div>
                <w:div w:id="901675496">
                  <w:marLeft w:val="1440"/>
                  <w:marRight w:val="0"/>
                  <w:marTop w:val="0"/>
                  <w:marBottom w:val="101"/>
                  <w:divBdr>
                    <w:top w:val="none" w:sz="0" w:space="0" w:color="auto"/>
                    <w:left w:val="none" w:sz="0" w:space="0" w:color="auto"/>
                    <w:bottom w:val="none" w:sz="0" w:space="0" w:color="auto"/>
                    <w:right w:val="none" w:sz="0" w:space="0" w:color="auto"/>
                  </w:divBdr>
                </w:div>
                <w:div w:id="1896819710">
                  <w:marLeft w:val="1440"/>
                  <w:marRight w:val="0"/>
                  <w:marTop w:val="0"/>
                  <w:marBottom w:val="101"/>
                  <w:divBdr>
                    <w:top w:val="none" w:sz="0" w:space="0" w:color="auto"/>
                    <w:left w:val="none" w:sz="0" w:space="0" w:color="auto"/>
                    <w:bottom w:val="none" w:sz="0" w:space="0" w:color="auto"/>
                    <w:right w:val="none" w:sz="0" w:space="0" w:color="auto"/>
                  </w:divBdr>
                </w:div>
                <w:div w:id="965088598">
                  <w:marLeft w:val="1440"/>
                  <w:marRight w:val="0"/>
                  <w:marTop w:val="0"/>
                  <w:marBottom w:val="101"/>
                  <w:divBdr>
                    <w:top w:val="none" w:sz="0" w:space="0" w:color="auto"/>
                    <w:left w:val="none" w:sz="0" w:space="0" w:color="auto"/>
                    <w:bottom w:val="none" w:sz="0" w:space="0" w:color="auto"/>
                    <w:right w:val="none" w:sz="0" w:space="0" w:color="auto"/>
                  </w:divBdr>
                </w:div>
                <w:div w:id="481196232">
                  <w:marLeft w:val="1440"/>
                  <w:marRight w:val="0"/>
                  <w:marTop w:val="0"/>
                  <w:marBottom w:val="101"/>
                  <w:divBdr>
                    <w:top w:val="none" w:sz="0" w:space="0" w:color="auto"/>
                    <w:left w:val="none" w:sz="0" w:space="0" w:color="auto"/>
                    <w:bottom w:val="none" w:sz="0" w:space="0" w:color="auto"/>
                    <w:right w:val="none" w:sz="0" w:space="0" w:color="auto"/>
                  </w:divBdr>
                </w:div>
                <w:div w:id="1171287830">
                  <w:marLeft w:val="1440"/>
                  <w:marRight w:val="0"/>
                  <w:marTop w:val="0"/>
                  <w:marBottom w:val="101"/>
                  <w:divBdr>
                    <w:top w:val="none" w:sz="0" w:space="0" w:color="auto"/>
                    <w:left w:val="none" w:sz="0" w:space="0" w:color="auto"/>
                    <w:bottom w:val="none" w:sz="0" w:space="0" w:color="auto"/>
                    <w:right w:val="none" w:sz="0" w:space="0" w:color="auto"/>
                  </w:divBdr>
                </w:div>
                <w:div w:id="1122068481">
                  <w:marLeft w:val="1440"/>
                  <w:marRight w:val="0"/>
                  <w:marTop w:val="0"/>
                  <w:marBottom w:val="101"/>
                  <w:divBdr>
                    <w:top w:val="none" w:sz="0" w:space="0" w:color="auto"/>
                    <w:left w:val="none" w:sz="0" w:space="0" w:color="auto"/>
                    <w:bottom w:val="none" w:sz="0" w:space="0" w:color="auto"/>
                    <w:right w:val="none" w:sz="0" w:space="0" w:color="auto"/>
                  </w:divBdr>
                </w:div>
                <w:div w:id="37361279">
                  <w:marLeft w:val="1440"/>
                  <w:marRight w:val="0"/>
                  <w:marTop w:val="0"/>
                  <w:marBottom w:val="101"/>
                  <w:divBdr>
                    <w:top w:val="none" w:sz="0" w:space="0" w:color="auto"/>
                    <w:left w:val="none" w:sz="0" w:space="0" w:color="auto"/>
                    <w:bottom w:val="none" w:sz="0" w:space="0" w:color="auto"/>
                    <w:right w:val="none" w:sz="0" w:space="0" w:color="auto"/>
                  </w:divBdr>
                </w:div>
                <w:div w:id="449012683">
                  <w:marLeft w:val="1440"/>
                  <w:marRight w:val="0"/>
                  <w:marTop w:val="0"/>
                  <w:marBottom w:val="101"/>
                  <w:divBdr>
                    <w:top w:val="none" w:sz="0" w:space="0" w:color="auto"/>
                    <w:left w:val="none" w:sz="0" w:space="0" w:color="auto"/>
                    <w:bottom w:val="none" w:sz="0" w:space="0" w:color="auto"/>
                    <w:right w:val="none" w:sz="0" w:space="0" w:color="auto"/>
                  </w:divBdr>
                </w:div>
                <w:div w:id="281350851">
                  <w:marLeft w:val="1440"/>
                  <w:marRight w:val="0"/>
                  <w:marTop w:val="0"/>
                  <w:marBottom w:val="101"/>
                  <w:divBdr>
                    <w:top w:val="none" w:sz="0" w:space="0" w:color="auto"/>
                    <w:left w:val="none" w:sz="0" w:space="0" w:color="auto"/>
                    <w:bottom w:val="none" w:sz="0" w:space="0" w:color="auto"/>
                    <w:right w:val="none" w:sz="0" w:space="0" w:color="auto"/>
                  </w:divBdr>
                </w:div>
                <w:div w:id="1361197268">
                  <w:marLeft w:val="1440"/>
                  <w:marRight w:val="0"/>
                  <w:marTop w:val="0"/>
                  <w:marBottom w:val="101"/>
                  <w:divBdr>
                    <w:top w:val="none" w:sz="0" w:space="0" w:color="auto"/>
                    <w:left w:val="none" w:sz="0" w:space="0" w:color="auto"/>
                    <w:bottom w:val="none" w:sz="0" w:space="0" w:color="auto"/>
                    <w:right w:val="none" w:sz="0" w:space="0" w:color="auto"/>
                  </w:divBdr>
                </w:div>
                <w:div w:id="1014380573">
                  <w:marLeft w:val="1440"/>
                  <w:marRight w:val="0"/>
                  <w:marTop w:val="0"/>
                  <w:marBottom w:val="101"/>
                  <w:divBdr>
                    <w:top w:val="none" w:sz="0" w:space="0" w:color="auto"/>
                    <w:left w:val="none" w:sz="0" w:space="0" w:color="auto"/>
                    <w:bottom w:val="none" w:sz="0" w:space="0" w:color="auto"/>
                    <w:right w:val="none" w:sz="0" w:space="0" w:color="auto"/>
                  </w:divBdr>
                </w:div>
                <w:div w:id="997611913">
                  <w:marLeft w:val="1440"/>
                  <w:marRight w:val="0"/>
                  <w:marTop w:val="0"/>
                  <w:marBottom w:val="101"/>
                  <w:divBdr>
                    <w:top w:val="none" w:sz="0" w:space="0" w:color="auto"/>
                    <w:left w:val="none" w:sz="0" w:space="0" w:color="auto"/>
                    <w:bottom w:val="none" w:sz="0" w:space="0" w:color="auto"/>
                    <w:right w:val="none" w:sz="0" w:space="0" w:color="auto"/>
                  </w:divBdr>
                </w:div>
                <w:div w:id="2045011059">
                  <w:marLeft w:val="1440"/>
                  <w:marRight w:val="0"/>
                  <w:marTop w:val="0"/>
                  <w:marBottom w:val="101"/>
                  <w:divBdr>
                    <w:top w:val="none" w:sz="0" w:space="0" w:color="auto"/>
                    <w:left w:val="none" w:sz="0" w:space="0" w:color="auto"/>
                    <w:bottom w:val="none" w:sz="0" w:space="0" w:color="auto"/>
                    <w:right w:val="none" w:sz="0" w:space="0" w:color="auto"/>
                  </w:divBdr>
                </w:div>
                <w:div w:id="1178690039">
                  <w:marLeft w:val="1440"/>
                  <w:marRight w:val="0"/>
                  <w:marTop w:val="0"/>
                  <w:marBottom w:val="101"/>
                  <w:divBdr>
                    <w:top w:val="none" w:sz="0" w:space="0" w:color="auto"/>
                    <w:left w:val="none" w:sz="0" w:space="0" w:color="auto"/>
                    <w:bottom w:val="none" w:sz="0" w:space="0" w:color="auto"/>
                    <w:right w:val="none" w:sz="0" w:space="0" w:color="auto"/>
                  </w:divBdr>
                </w:div>
                <w:div w:id="1971862209">
                  <w:marLeft w:val="1440"/>
                  <w:marRight w:val="0"/>
                  <w:marTop w:val="0"/>
                  <w:marBottom w:val="101"/>
                  <w:divBdr>
                    <w:top w:val="none" w:sz="0" w:space="0" w:color="auto"/>
                    <w:left w:val="none" w:sz="0" w:space="0" w:color="auto"/>
                    <w:bottom w:val="none" w:sz="0" w:space="0" w:color="auto"/>
                    <w:right w:val="none" w:sz="0" w:space="0" w:color="auto"/>
                  </w:divBdr>
                </w:div>
                <w:div w:id="643506739">
                  <w:marLeft w:val="1440"/>
                  <w:marRight w:val="0"/>
                  <w:marTop w:val="0"/>
                  <w:marBottom w:val="101"/>
                  <w:divBdr>
                    <w:top w:val="none" w:sz="0" w:space="0" w:color="auto"/>
                    <w:left w:val="none" w:sz="0" w:space="0" w:color="auto"/>
                    <w:bottom w:val="none" w:sz="0" w:space="0" w:color="auto"/>
                    <w:right w:val="none" w:sz="0" w:space="0" w:color="auto"/>
                  </w:divBdr>
                </w:div>
                <w:div w:id="385881771">
                  <w:marLeft w:val="1440"/>
                  <w:marRight w:val="0"/>
                  <w:marTop w:val="0"/>
                  <w:marBottom w:val="101"/>
                  <w:divBdr>
                    <w:top w:val="none" w:sz="0" w:space="0" w:color="auto"/>
                    <w:left w:val="none" w:sz="0" w:space="0" w:color="auto"/>
                    <w:bottom w:val="none" w:sz="0" w:space="0" w:color="auto"/>
                    <w:right w:val="none" w:sz="0" w:space="0" w:color="auto"/>
                  </w:divBdr>
                </w:div>
                <w:div w:id="992831615">
                  <w:marLeft w:val="1440"/>
                  <w:marRight w:val="0"/>
                  <w:marTop w:val="0"/>
                  <w:marBottom w:val="101"/>
                  <w:divBdr>
                    <w:top w:val="none" w:sz="0" w:space="0" w:color="auto"/>
                    <w:left w:val="none" w:sz="0" w:space="0" w:color="auto"/>
                    <w:bottom w:val="none" w:sz="0" w:space="0" w:color="auto"/>
                    <w:right w:val="none" w:sz="0" w:space="0" w:color="auto"/>
                  </w:divBdr>
                </w:div>
                <w:div w:id="1948274932">
                  <w:marLeft w:val="1440"/>
                  <w:marRight w:val="0"/>
                  <w:marTop w:val="0"/>
                  <w:marBottom w:val="101"/>
                  <w:divBdr>
                    <w:top w:val="none" w:sz="0" w:space="0" w:color="auto"/>
                    <w:left w:val="none" w:sz="0" w:space="0" w:color="auto"/>
                    <w:bottom w:val="none" w:sz="0" w:space="0" w:color="auto"/>
                    <w:right w:val="none" w:sz="0" w:space="0" w:color="auto"/>
                  </w:divBdr>
                </w:div>
                <w:div w:id="1402826902">
                  <w:marLeft w:val="2160"/>
                  <w:marRight w:val="0"/>
                  <w:marTop w:val="0"/>
                  <w:marBottom w:val="101"/>
                  <w:divBdr>
                    <w:top w:val="none" w:sz="0" w:space="0" w:color="auto"/>
                    <w:left w:val="none" w:sz="0" w:space="0" w:color="auto"/>
                    <w:bottom w:val="none" w:sz="0" w:space="0" w:color="auto"/>
                    <w:right w:val="none" w:sz="0" w:space="0" w:color="auto"/>
                  </w:divBdr>
                </w:div>
                <w:div w:id="1707487848">
                  <w:marLeft w:val="2160"/>
                  <w:marRight w:val="0"/>
                  <w:marTop w:val="0"/>
                  <w:marBottom w:val="101"/>
                  <w:divBdr>
                    <w:top w:val="none" w:sz="0" w:space="0" w:color="auto"/>
                    <w:left w:val="none" w:sz="0" w:space="0" w:color="auto"/>
                    <w:bottom w:val="none" w:sz="0" w:space="0" w:color="auto"/>
                    <w:right w:val="none" w:sz="0" w:space="0" w:color="auto"/>
                  </w:divBdr>
                </w:div>
                <w:div w:id="1232499375">
                  <w:marLeft w:val="2160"/>
                  <w:marRight w:val="0"/>
                  <w:marTop w:val="0"/>
                  <w:marBottom w:val="101"/>
                  <w:divBdr>
                    <w:top w:val="none" w:sz="0" w:space="0" w:color="auto"/>
                    <w:left w:val="none" w:sz="0" w:space="0" w:color="auto"/>
                    <w:bottom w:val="none" w:sz="0" w:space="0" w:color="auto"/>
                    <w:right w:val="none" w:sz="0" w:space="0" w:color="auto"/>
                  </w:divBdr>
                </w:div>
                <w:div w:id="1295134403">
                  <w:marLeft w:val="2160"/>
                  <w:marRight w:val="0"/>
                  <w:marTop w:val="0"/>
                  <w:marBottom w:val="101"/>
                  <w:divBdr>
                    <w:top w:val="none" w:sz="0" w:space="0" w:color="auto"/>
                    <w:left w:val="none" w:sz="0" w:space="0" w:color="auto"/>
                    <w:bottom w:val="none" w:sz="0" w:space="0" w:color="auto"/>
                    <w:right w:val="none" w:sz="0" w:space="0" w:color="auto"/>
                  </w:divBdr>
                </w:div>
                <w:div w:id="160509943">
                  <w:marLeft w:val="1440"/>
                  <w:marRight w:val="0"/>
                  <w:marTop w:val="0"/>
                  <w:marBottom w:val="101"/>
                  <w:divBdr>
                    <w:top w:val="none" w:sz="0" w:space="0" w:color="auto"/>
                    <w:left w:val="none" w:sz="0" w:space="0" w:color="auto"/>
                    <w:bottom w:val="none" w:sz="0" w:space="0" w:color="auto"/>
                    <w:right w:val="none" w:sz="0" w:space="0" w:color="auto"/>
                  </w:divBdr>
                </w:div>
                <w:div w:id="860894335">
                  <w:marLeft w:val="1440"/>
                  <w:marRight w:val="0"/>
                  <w:marTop w:val="0"/>
                  <w:marBottom w:val="101"/>
                  <w:divBdr>
                    <w:top w:val="none" w:sz="0" w:space="0" w:color="auto"/>
                    <w:left w:val="none" w:sz="0" w:space="0" w:color="auto"/>
                    <w:bottom w:val="none" w:sz="0" w:space="0" w:color="auto"/>
                    <w:right w:val="none" w:sz="0" w:space="0" w:color="auto"/>
                  </w:divBdr>
                </w:div>
                <w:div w:id="79182308">
                  <w:marLeft w:val="1440"/>
                  <w:marRight w:val="0"/>
                  <w:marTop w:val="0"/>
                  <w:marBottom w:val="101"/>
                  <w:divBdr>
                    <w:top w:val="none" w:sz="0" w:space="0" w:color="auto"/>
                    <w:left w:val="none" w:sz="0" w:space="0" w:color="auto"/>
                    <w:bottom w:val="none" w:sz="0" w:space="0" w:color="auto"/>
                    <w:right w:val="none" w:sz="0" w:space="0" w:color="auto"/>
                  </w:divBdr>
                </w:div>
                <w:div w:id="2053308474">
                  <w:marLeft w:val="1440"/>
                  <w:marRight w:val="0"/>
                  <w:marTop w:val="0"/>
                  <w:marBottom w:val="101"/>
                  <w:divBdr>
                    <w:top w:val="none" w:sz="0" w:space="0" w:color="auto"/>
                    <w:left w:val="none" w:sz="0" w:space="0" w:color="auto"/>
                    <w:bottom w:val="none" w:sz="0" w:space="0" w:color="auto"/>
                    <w:right w:val="none" w:sz="0" w:space="0" w:color="auto"/>
                  </w:divBdr>
                </w:div>
                <w:div w:id="1090008523">
                  <w:marLeft w:val="2160"/>
                  <w:marRight w:val="0"/>
                  <w:marTop w:val="0"/>
                  <w:marBottom w:val="101"/>
                  <w:divBdr>
                    <w:top w:val="none" w:sz="0" w:space="0" w:color="auto"/>
                    <w:left w:val="none" w:sz="0" w:space="0" w:color="auto"/>
                    <w:bottom w:val="none" w:sz="0" w:space="0" w:color="auto"/>
                    <w:right w:val="none" w:sz="0" w:space="0" w:color="auto"/>
                  </w:divBdr>
                </w:div>
                <w:div w:id="1295066523">
                  <w:marLeft w:val="2160"/>
                  <w:marRight w:val="0"/>
                  <w:marTop w:val="0"/>
                  <w:marBottom w:val="101"/>
                  <w:divBdr>
                    <w:top w:val="none" w:sz="0" w:space="0" w:color="auto"/>
                    <w:left w:val="none" w:sz="0" w:space="0" w:color="auto"/>
                    <w:bottom w:val="none" w:sz="0" w:space="0" w:color="auto"/>
                    <w:right w:val="none" w:sz="0" w:space="0" w:color="auto"/>
                  </w:divBdr>
                </w:div>
                <w:div w:id="1286541751">
                  <w:marLeft w:val="2160"/>
                  <w:marRight w:val="0"/>
                  <w:marTop w:val="0"/>
                  <w:marBottom w:val="101"/>
                  <w:divBdr>
                    <w:top w:val="none" w:sz="0" w:space="0" w:color="auto"/>
                    <w:left w:val="none" w:sz="0" w:space="0" w:color="auto"/>
                    <w:bottom w:val="none" w:sz="0" w:space="0" w:color="auto"/>
                    <w:right w:val="none" w:sz="0" w:space="0" w:color="auto"/>
                  </w:divBdr>
                </w:div>
                <w:div w:id="390740208">
                  <w:marLeft w:val="2160"/>
                  <w:marRight w:val="0"/>
                  <w:marTop w:val="0"/>
                  <w:marBottom w:val="101"/>
                  <w:divBdr>
                    <w:top w:val="none" w:sz="0" w:space="0" w:color="auto"/>
                    <w:left w:val="none" w:sz="0" w:space="0" w:color="auto"/>
                    <w:bottom w:val="none" w:sz="0" w:space="0" w:color="auto"/>
                    <w:right w:val="none" w:sz="0" w:space="0" w:color="auto"/>
                  </w:divBdr>
                </w:div>
                <w:div w:id="1578982053">
                  <w:marLeft w:val="2160"/>
                  <w:marRight w:val="0"/>
                  <w:marTop w:val="0"/>
                  <w:marBottom w:val="101"/>
                  <w:divBdr>
                    <w:top w:val="none" w:sz="0" w:space="0" w:color="auto"/>
                    <w:left w:val="none" w:sz="0" w:space="0" w:color="auto"/>
                    <w:bottom w:val="none" w:sz="0" w:space="0" w:color="auto"/>
                    <w:right w:val="none" w:sz="0" w:space="0" w:color="auto"/>
                  </w:divBdr>
                </w:div>
                <w:div w:id="230118163">
                  <w:marLeft w:val="2160"/>
                  <w:marRight w:val="0"/>
                  <w:marTop w:val="0"/>
                  <w:marBottom w:val="101"/>
                  <w:divBdr>
                    <w:top w:val="none" w:sz="0" w:space="0" w:color="auto"/>
                    <w:left w:val="none" w:sz="0" w:space="0" w:color="auto"/>
                    <w:bottom w:val="none" w:sz="0" w:space="0" w:color="auto"/>
                    <w:right w:val="none" w:sz="0" w:space="0" w:color="auto"/>
                  </w:divBdr>
                </w:div>
                <w:div w:id="510529896">
                  <w:marLeft w:val="2160"/>
                  <w:marRight w:val="0"/>
                  <w:marTop w:val="0"/>
                  <w:marBottom w:val="101"/>
                  <w:divBdr>
                    <w:top w:val="none" w:sz="0" w:space="0" w:color="auto"/>
                    <w:left w:val="none" w:sz="0" w:space="0" w:color="auto"/>
                    <w:bottom w:val="none" w:sz="0" w:space="0" w:color="auto"/>
                    <w:right w:val="none" w:sz="0" w:space="0" w:color="auto"/>
                  </w:divBdr>
                </w:div>
                <w:div w:id="1612471240">
                  <w:marLeft w:val="1440"/>
                  <w:marRight w:val="0"/>
                  <w:marTop w:val="0"/>
                  <w:marBottom w:val="101"/>
                  <w:divBdr>
                    <w:top w:val="none" w:sz="0" w:space="0" w:color="auto"/>
                    <w:left w:val="none" w:sz="0" w:space="0" w:color="auto"/>
                    <w:bottom w:val="none" w:sz="0" w:space="0" w:color="auto"/>
                    <w:right w:val="none" w:sz="0" w:space="0" w:color="auto"/>
                  </w:divBdr>
                </w:div>
                <w:div w:id="912348189">
                  <w:marLeft w:val="1440"/>
                  <w:marRight w:val="0"/>
                  <w:marTop w:val="0"/>
                  <w:marBottom w:val="101"/>
                  <w:divBdr>
                    <w:top w:val="none" w:sz="0" w:space="0" w:color="auto"/>
                    <w:left w:val="none" w:sz="0" w:space="0" w:color="auto"/>
                    <w:bottom w:val="none" w:sz="0" w:space="0" w:color="auto"/>
                    <w:right w:val="none" w:sz="0" w:space="0" w:color="auto"/>
                  </w:divBdr>
                </w:div>
                <w:div w:id="1812283090">
                  <w:marLeft w:val="1440"/>
                  <w:marRight w:val="0"/>
                  <w:marTop w:val="0"/>
                  <w:marBottom w:val="101"/>
                  <w:divBdr>
                    <w:top w:val="none" w:sz="0" w:space="0" w:color="auto"/>
                    <w:left w:val="none" w:sz="0" w:space="0" w:color="auto"/>
                    <w:bottom w:val="none" w:sz="0" w:space="0" w:color="auto"/>
                    <w:right w:val="none" w:sz="0" w:space="0" w:color="auto"/>
                  </w:divBdr>
                </w:div>
                <w:div w:id="577909910">
                  <w:marLeft w:val="1440"/>
                  <w:marRight w:val="0"/>
                  <w:marTop w:val="0"/>
                  <w:marBottom w:val="101"/>
                  <w:divBdr>
                    <w:top w:val="none" w:sz="0" w:space="0" w:color="auto"/>
                    <w:left w:val="none" w:sz="0" w:space="0" w:color="auto"/>
                    <w:bottom w:val="none" w:sz="0" w:space="0" w:color="auto"/>
                    <w:right w:val="none" w:sz="0" w:space="0" w:color="auto"/>
                  </w:divBdr>
                </w:div>
                <w:div w:id="1989359771">
                  <w:marLeft w:val="1440"/>
                  <w:marRight w:val="0"/>
                  <w:marTop w:val="0"/>
                  <w:marBottom w:val="101"/>
                  <w:divBdr>
                    <w:top w:val="none" w:sz="0" w:space="0" w:color="auto"/>
                    <w:left w:val="none" w:sz="0" w:space="0" w:color="auto"/>
                    <w:bottom w:val="none" w:sz="0" w:space="0" w:color="auto"/>
                    <w:right w:val="none" w:sz="0" w:space="0" w:color="auto"/>
                  </w:divBdr>
                </w:div>
                <w:div w:id="820778164">
                  <w:marLeft w:val="1440"/>
                  <w:marRight w:val="0"/>
                  <w:marTop w:val="0"/>
                  <w:marBottom w:val="101"/>
                  <w:divBdr>
                    <w:top w:val="none" w:sz="0" w:space="0" w:color="auto"/>
                    <w:left w:val="none" w:sz="0" w:space="0" w:color="auto"/>
                    <w:bottom w:val="none" w:sz="0" w:space="0" w:color="auto"/>
                    <w:right w:val="none" w:sz="0" w:space="0" w:color="auto"/>
                  </w:divBdr>
                </w:div>
                <w:div w:id="1180848877">
                  <w:marLeft w:val="1440"/>
                  <w:marRight w:val="0"/>
                  <w:marTop w:val="0"/>
                  <w:marBottom w:val="101"/>
                  <w:divBdr>
                    <w:top w:val="none" w:sz="0" w:space="0" w:color="auto"/>
                    <w:left w:val="none" w:sz="0" w:space="0" w:color="auto"/>
                    <w:bottom w:val="none" w:sz="0" w:space="0" w:color="auto"/>
                    <w:right w:val="none" w:sz="0" w:space="0" w:color="auto"/>
                  </w:divBdr>
                </w:div>
                <w:div w:id="2058235021">
                  <w:marLeft w:val="1440"/>
                  <w:marRight w:val="0"/>
                  <w:marTop w:val="0"/>
                  <w:marBottom w:val="101"/>
                  <w:divBdr>
                    <w:top w:val="none" w:sz="0" w:space="0" w:color="auto"/>
                    <w:left w:val="none" w:sz="0" w:space="0" w:color="auto"/>
                    <w:bottom w:val="none" w:sz="0" w:space="0" w:color="auto"/>
                    <w:right w:val="none" w:sz="0" w:space="0" w:color="auto"/>
                  </w:divBdr>
                </w:div>
                <w:div w:id="849680432">
                  <w:marLeft w:val="1440"/>
                  <w:marRight w:val="0"/>
                  <w:marTop w:val="0"/>
                  <w:marBottom w:val="101"/>
                  <w:divBdr>
                    <w:top w:val="none" w:sz="0" w:space="0" w:color="auto"/>
                    <w:left w:val="none" w:sz="0" w:space="0" w:color="auto"/>
                    <w:bottom w:val="none" w:sz="0" w:space="0" w:color="auto"/>
                    <w:right w:val="none" w:sz="0" w:space="0" w:color="auto"/>
                  </w:divBdr>
                </w:div>
                <w:div w:id="1990163080">
                  <w:marLeft w:val="1440"/>
                  <w:marRight w:val="0"/>
                  <w:marTop w:val="0"/>
                  <w:marBottom w:val="101"/>
                  <w:divBdr>
                    <w:top w:val="none" w:sz="0" w:space="0" w:color="auto"/>
                    <w:left w:val="none" w:sz="0" w:space="0" w:color="auto"/>
                    <w:bottom w:val="none" w:sz="0" w:space="0" w:color="auto"/>
                    <w:right w:val="none" w:sz="0" w:space="0" w:color="auto"/>
                  </w:divBdr>
                </w:div>
                <w:div w:id="1695493852">
                  <w:marLeft w:val="2160"/>
                  <w:marRight w:val="0"/>
                  <w:marTop w:val="0"/>
                  <w:marBottom w:val="101"/>
                  <w:divBdr>
                    <w:top w:val="none" w:sz="0" w:space="0" w:color="auto"/>
                    <w:left w:val="none" w:sz="0" w:space="0" w:color="auto"/>
                    <w:bottom w:val="none" w:sz="0" w:space="0" w:color="auto"/>
                    <w:right w:val="none" w:sz="0" w:space="0" w:color="auto"/>
                  </w:divBdr>
                </w:div>
                <w:div w:id="1168520381">
                  <w:marLeft w:val="2160"/>
                  <w:marRight w:val="0"/>
                  <w:marTop w:val="0"/>
                  <w:marBottom w:val="101"/>
                  <w:divBdr>
                    <w:top w:val="none" w:sz="0" w:space="0" w:color="auto"/>
                    <w:left w:val="none" w:sz="0" w:space="0" w:color="auto"/>
                    <w:bottom w:val="none" w:sz="0" w:space="0" w:color="auto"/>
                    <w:right w:val="none" w:sz="0" w:space="0" w:color="auto"/>
                  </w:divBdr>
                </w:div>
                <w:div w:id="1527215135">
                  <w:marLeft w:val="1440"/>
                  <w:marRight w:val="0"/>
                  <w:marTop w:val="0"/>
                  <w:marBottom w:val="101"/>
                  <w:divBdr>
                    <w:top w:val="none" w:sz="0" w:space="0" w:color="auto"/>
                    <w:left w:val="none" w:sz="0" w:space="0" w:color="auto"/>
                    <w:bottom w:val="none" w:sz="0" w:space="0" w:color="auto"/>
                    <w:right w:val="none" w:sz="0" w:space="0" w:color="auto"/>
                  </w:divBdr>
                </w:div>
                <w:div w:id="2146776809">
                  <w:marLeft w:val="1440"/>
                  <w:marRight w:val="0"/>
                  <w:marTop w:val="0"/>
                  <w:marBottom w:val="101"/>
                  <w:divBdr>
                    <w:top w:val="none" w:sz="0" w:space="0" w:color="auto"/>
                    <w:left w:val="none" w:sz="0" w:space="0" w:color="auto"/>
                    <w:bottom w:val="none" w:sz="0" w:space="0" w:color="auto"/>
                    <w:right w:val="none" w:sz="0" w:space="0" w:color="auto"/>
                  </w:divBdr>
                </w:div>
                <w:div w:id="538788443">
                  <w:marLeft w:val="1440"/>
                  <w:marRight w:val="0"/>
                  <w:marTop w:val="0"/>
                  <w:marBottom w:val="101"/>
                  <w:divBdr>
                    <w:top w:val="none" w:sz="0" w:space="0" w:color="auto"/>
                    <w:left w:val="none" w:sz="0" w:space="0" w:color="auto"/>
                    <w:bottom w:val="none" w:sz="0" w:space="0" w:color="auto"/>
                    <w:right w:val="none" w:sz="0" w:space="0" w:color="auto"/>
                  </w:divBdr>
                </w:div>
                <w:div w:id="778140228">
                  <w:marLeft w:val="1440"/>
                  <w:marRight w:val="0"/>
                  <w:marTop w:val="0"/>
                  <w:marBottom w:val="101"/>
                  <w:divBdr>
                    <w:top w:val="none" w:sz="0" w:space="0" w:color="auto"/>
                    <w:left w:val="none" w:sz="0" w:space="0" w:color="auto"/>
                    <w:bottom w:val="none" w:sz="0" w:space="0" w:color="auto"/>
                    <w:right w:val="none" w:sz="0" w:space="0" w:color="auto"/>
                  </w:divBdr>
                </w:div>
                <w:div w:id="1064525618">
                  <w:marLeft w:val="1440"/>
                  <w:marRight w:val="0"/>
                  <w:marTop w:val="0"/>
                  <w:marBottom w:val="101"/>
                  <w:divBdr>
                    <w:top w:val="none" w:sz="0" w:space="0" w:color="auto"/>
                    <w:left w:val="none" w:sz="0" w:space="0" w:color="auto"/>
                    <w:bottom w:val="none" w:sz="0" w:space="0" w:color="auto"/>
                    <w:right w:val="none" w:sz="0" w:space="0" w:color="auto"/>
                  </w:divBdr>
                </w:div>
                <w:div w:id="792820335">
                  <w:marLeft w:val="1440"/>
                  <w:marRight w:val="0"/>
                  <w:marTop w:val="0"/>
                  <w:marBottom w:val="101"/>
                  <w:divBdr>
                    <w:top w:val="none" w:sz="0" w:space="0" w:color="auto"/>
                    <w:left w:val="none" w:sz="0" w:space="0" w:color="auto"/>
                    <w:bottom w:val="none" w:sz="0" w:space="0" w:color="auto"/>
                    <w:right w:val="none" w:sz="0" w:space="0" w:color="auto"/>
                  </w:divBdr>
                </w:div>
                <w:div w:id="626161631">
                  <w:marLeft w:val="1440"/>
                  <w:marRight w:val="0"/>
                  <w:marTop w:val="0"/>
                  <w:marBottom w:val="101"/>
                  <w:divBdr>
                    <w:top w:val="none" w:sz="0" w:space="0" w:color="auto"/>
                    <w:left w:val="none" w:sz="0" w:space="0" w:color="auto"/>
                    <w:bottom w:val="none" w:sz="0" w:space="0" w:color="auto"/>
                    <w:right w:val="none" w:sz="0" w:space="0" w:color="auto"/>
                  </w:divBdr>
                </w:div>
                <w:div w:id="1294290291">
                  <w:marLeft w:val="1440"/>
                  <w:marRight w:val="0"/>
                  <w:marTop w:val="0"/>
                  <w:marBottom w:val="101"/>
                  <w:divBdr>
                    <w:top w:val="none" w:sz="0" w:space="0" w:color="auto"/>
                    <w:left w:val="none" w:sz="0" w:space="0" w:color="auto"/>
                    <w:bottom w:val="none" w:sz="0" w:space="0" w:color="auto"/>
                    <w:right w:val="none" w:sz="0" w:space="0" w:color="auto"/>
                  </w:divBdr>
                </w:div>
                <w:div w:id="1125125052">
                  <w:marLeft w:val="1440"/>
                  <w:marRight w:val="0"/>
                  <w:marTop w:val="0"/>
                  <w:marBottom w:val="101"/>
                  <w:divBdr>
                    <w:top w:val="none" w:sz="0" w:space="0" w:color="auto"/>
                    <w:left w:val="none" w:sz="0" w:space="0" w:color="auto"/>
                    <w:bottom w:val="none" w:sz="0" w:space="0" w:color="auto"/>
                    <w:right w:val="none" w:sz="0" w:space="0" w:color="auto"/>
                  </w:divBdr>
                </w:div>
                <w:div w:id="1152411249">
                  <w:marLeft w:val="1440"/>
                  <w:marRight w:val="0"/>
                  <w:marTop w:val="0"/>
                  <w:marBottom w:val="101"/>
                  <w:divBdr>
                    <w:top w:val="none" w:sz="0" w:space="0" w:color="auto"/>
                    <w:left w:val="none" w:sz="0" w:space="0" w:color="auto"/>
                    <w:bottom w:val="none" w:sz="0" w:space="0" w:color="auto"/>
                    <w:right w:val="none" w:sz="0" w:space="0" w:color="auto"/>
                  </w:divBdr>
                </w:div>
                <w:div w:id="752505728">
                  <w:marLeft w:val="1440"/>
                  <w:marRight w:val="0"/>
                  <w:marTop w:val="0"/>
                  <w:marBottom w:val="101"/>
                  <w:divBdr>
                    <w:top w:val="none" w:sz="0" w:space="0" w:color="auto"/>
                    <w:left w:val="none" w:sz="0" w:space="0" w:color="auto"/>
                    <w:bottom w:val="none" w:sz="0" w:space="0" w:color="auto"/>
                    <w:right w:val="none" w:sz="0" w:space="0" w:color="auto"/>
                  </w:divBdr>
                </w:div>
                <w:div w:id="1871800676">
                  <w:marLeft w:val="2160"/>
                  <w:marRight w:val="0"/>
                  <w:marTop w:val="0"/>
                  <w:marBottom w:val="101"/>
                  <w:divBdr>
                    <w:top w:val="none" w:sz="0" w:space="0" w:color="auto"/>
                    <w:left w:val="none" w:sz="0" w:space="0" w:color="auto"/>
                    <w:bottom w:val="none" w:sz="0" w:space="0" w:color="auto"/>
                    <w:right w:val="none" w:sz="0" w:space="0" w:color="auto"/>
                  </w:divBdr>
                </w:div>
                <w:div w:id="1031879890">
                  <w:marLeft w:val="2160"/>
                  <w:marRight w:val="0"/>
                  <w:marTop w:val="0"/>
                  <w:marBottom w:val="101"/>
                  <w:divBdr>
                    <w:top w:val="none" w:sz="0" w:space="0" w:color="auto"/>
                    <w:left w:val="none" w:sz="0" w:space="0" w:color="auto"/>
                    <w:bottom w:val="none" w:sz="0" w:space="0" w:color="auto"/>
                    <w:right w:val="none" w:sz="0" w:space="0" w:color="auto"/>
                  </w:divBdr>
                </w:div>
                <w:div w:id="1542087441">
                  <w:marLeft w:val="1440"/>
                  <w:marRight w:val="0"/>
                  <w:marTop w:val="0"/>
                  <w:marBottom w:val="101"/>
                  <w:divBdr>
                    <w:top w:val="none" w:sz="0" w:space="0" w:color="auto"/>
                    <w:left w:val="none" w:sz="0" w:space="0" w:color="auto"/>
                    <w:bottom w:val="none" w:sz="0" w:space="0" w:color="auto"/>
                    <w:right w:val="none" w:sz="0" w:space="0" w:color="auto"/>
                  </w:divBdr>
                </w:div>
                <w:div w:id="674920041">
                  <w:marLeft w:val="1440"/>
                  <w:marRight w:val="0"/>
                  <w:marTop w:val="0"/>
                  <w:marBottom w:val="101"/>
                  <w:divBdr>
                    <w:top w:val="none" w:sz="0" w:space="0" w:color="auto"/>
                    <w:left w:val="none" w:sz="0" w:space="0" w:color="auto"/>
                    <w:bottom w:val="none" w:sz="0" w:space="0" w:color="auto"/>
                    <w:right w:val="none" w:sz="0" w:space="0" w:color="auto"/>
                  </w:divBdr>
                </w:div>
                <w:div w:id="906691088">
                  <w:marLeft w:val="1440"/>
                  <w:marRight w:val="0"/>
                  <w:marTop w:val="0"/>
                  <w:marBottom w:val="101"/>
                  <w:divBdr>
                    <w:top w:val="none" w:sz="0" w:space="0" w:color="auto"/>
                    <w:left w:val="none" w:sz="0" w:space="0" w:color="auto"/>
                    <w:bottom w:val="none" w:sz="0" w:space="0" w:color="auto"/>
                    <w:right w:val="none" w:sz="0" w:space="0" w:color="auto"/>
                  </w:divBdr>
                </w:div>
                <w:div w:id="824590174">
                  <w:marLeft w:val="1440"/>
                  <w:marRight w:val="0"/>
                  <w:marTop w:val="0"/>
                  <w:marBottom w:val="101"/>
                  <w:divBdr>
                    <w:top w:val="none" w:sz="0" w:space="0" w:color="auto"/>
                    <w:left w:val="none" w:sz="0" w:space="0" w:color="auto"/>
                    <w:bottom w:val="none" w:sz="0" w:space="0" w:color="auto"/>
                    <w:right w:val="none" w:sz="0" w:space="0" w:color="auto"/>
                  </w:divBdr>
                </w:div>
                <w:div w:id="242688562">
                  <w:marLeft w:val="1440"/>
                  <w:marRight w:val="0"/>
                  <w:marTop w:val="0"/>
                  <w:marBottom w:val="101"/>
                  <w:divBdr>
                    <w:top w:val="none" w:sz="0" w:space="0" w:color="auto"/>
                    <w:left w:val="none" w:sz="0" w:space="0" w:color="auto"/>
                    <w:bottom w:val="none" w:sz="0" w:space="0" w:color="auto"/>
                    <w:right w:val="none" w:sz="0" w:space="0" w:color="auto"/>
                  </w:divBdr>
                </w:div>
                <w:div w:id="1848056137">
                  <w:marLeft w:val="1440"/>
                  <w:marRight w:val="0"/>
                  <w:marTop w:val="0"/>
                  <w:marBottom w:val="101"/>
                  <w:divBdr>
                    <w:top w:val="none" w:sz="0" w:space="0" w:color="auto"/>
                    <w:left w:val="none" w:sz="0" w:space="0" w:color="auto"/>
                    <w:bottom w:val="none" w:sz="0" w:space="0" w:color="auto"/>
                    <w:right w:val="none" w:sz="0" w:space="0" w:color="auto"/>
                  </w:divBdr>
                </w:div>
                <w:div w:id="443618489">
                  <w:marLeft w:val="1440"/>
                  <w:marRight w:val="0"/>
                  <w:marTop w:val="0"/>
                  <w:marBottom w:val="101"/>
                  <w:divBdr>
                    <w:top w:val="none" w:sz="0" w:space="0" w:color="auto"/>
                    <w:left w:val="none" w:sz="0" w:space="0" w:color="auto"/>
                    <w:bottom w:val="none" w:sz="0" w:space="0" w:color="auto"/>
                    <w:right w:val="none" w:sz="0" w:space="0" w:color="auto"/>
                  </w:divBdr>
                </w:div>
                <w:div w:id="144250562">
                  <w:marLeft w:val="1440"/>
                  <w:marRight w:val="0"/>
                  <w:marTop w:val="0"/>
                  <w:marBottom w:val="101"/>
                  <w:divBdr>
                    <w:top w:val="none" w:sz="0" w:space="0" w:color="auto"/>
                    <w:left w:val="none" w:sz="0" w:space="0" w:color="auto"/>
                    <w:bottom w:val="none" w:sz="0" w:space="0" w:color="auto"/>
                    <w:right w:val="none" w:sz="0" w:space="0" w:color="auto"/>
                  </w:divBdr>
                </w:div>
                <w:div w:id="834999219">
                  <w:marLeft w:val="1440"/>
                  <w:marRight w:val="0"/>
                  <w:marTop w:val="0"/>
                  <w:marBottom w:val="101"/>
                  <w:divBdr>
                    <w:top w:val="none" w:sz="0" w:space="0" w:color="auto"/>
                    <w:left w:val="none" w:sz="0" w:space="0" w:color="auto"/>
                    <w:bottom w:val="none" w:sz="0" w:space="0" w:color="auto"/>
                    <w:right w:val="none" w:sz="0" w:space="0" w:color="auto"/>
                  </w:divBdr>
                </w:div>
                <w:div w:id="950479652">
                  <w:marLeft w:val="1440"/>
                  <w:marRight w:val="0"/>
                  <w:marTop w:val="0"/>
                  <w:marBottom w:val="101"/>
                  <w:divBdr>
                    <w:top w:val="none" w:sz="0" w:space="0" w:color="auto"/>
                    <w:left w:val="none" w:sz="0" w:space="0" w:color="auto"/>
                    <w:bottom w:val="none" w:sz="0" w:space="0" w:color="auto"/>
                    <w:right w:val="none" w:sz="0" w:space="0" w:color="auto"/>
                  </w:divBdr>
                </w:div>
                <w:div w:id="333845625">
                  <w:marLeft w:val="2160"/>
                  <w:marRight w:val="0"/>
                  <w:marTop w:val="0"/>
                  <w:marBottom w:val="101"/>
                  <w:divBdr>
                    <w:top w:val="none" w:sz="0" w:space="0" w:color="auto"/>
                    <w:left w:val="none" w:sz="0" w:space="0" w:color="auto"/>
                    <w:bottom w:val="none" w:sz="0" w:space="0" w:color="auto"/>
                    <w:right w:val="none" w:sz="0" w:space="0" w:color="auto"/>
                  </w:divBdr>
                </w:div>
                <w:div w:id="1933082237">
                  <w:marLeft w:val="2592"/>
                  <w:marRight w:val="0"/>
                  <w:marTop w:val="0"/>
                  <w:marBottom w:val="101"/>
                  <w:divBdr>
                    <w:top w:val="none" w:sz="0" w:space="0" w:color="auto"/>
                    <w:left w:val="none" w:sz="0" w:space="0" w:color="auto"/>
                    <w:bottom w:val="none" w:sz="0" w:space="0" w:color="auto"/>
                    <w:right w:val="none" w:sz="0" w:space="0" w:color="auto"/>
                  </w:divBdr>
                </w:div>
                <w:div w:id="865288854">
                  <w:marLeft w:val="2592"/>
                  <w:marRight w:val="0"/>
                  <w:marTop w:val="0"/>
                  <w:marBottom w:val="101"/>
                  <w:divBdr>
                    <w:top w:val="none" w:sz="0" w:space="0" w:color="auto"/>
                    <w:left w:val="none" w:sz="0" w:space="0" w:color="auto"/>
                    <w:bottom w:val="none" w:sz="0" w:space="0" w:color="auto"/>
                    <w:right w:val="none" w:sz="0" w:space="0" w:color="auto"/>
                  </w:divBdr>
                </w:div>
                <w:div w:id="433289410">
                  <w:marLeft w:val="2592"/>
                  <w:marRight w:val="0"/>
                  <w:marTop w:val="0"/>
                  <w:marBottom w:val="101"/>
                  <w:divBdr>
                    <w:top w:val="none" w:sz="0" w:space="0" w:color="auto"/>
                    <w:left w:val="none" w:sz="0" w:space="0" w:color="auto"/>
                    <w:bottom w:val="none" w:sz="0" w:space="0" w:color="auto"/>
                    <w:right w:val="none" w:sz="0" w:space="0" w:color="auto"/>
                  </w:divBdr>
                </w:div>
                <w:div w:id="1504976574">
                  <w:marLeft w:val="2592"/>
                  <w:marRight w:val="0"/>
                  <w:marTop w:val="0"/>
                  <w:marBottom w:val="101"/>
                  <w:divBdr>
                    <w:top w:val="none" w:sz="0" w:space="0" w:color="auto"/>
                    <w:left w:val="none" w:sz="0" w:space="0" w:color="auto"/>
                    <w:bottom w:val="none" w:sz="0" w:space="0" w:color="auto"/>
                    <w:right w:val="none" w:sz="0" w:space="0" w:color="auto"/>
                  </w:divBdr>
                </w:div>
                <w:div w:id="1934776903">
                  <w:marLeft w:val="2592"/>
                  <w:marRight w:val="0"/>
                  <w:marTop w:val="0"/>
                  <w:marBottom w:val="101"/>
                  <w:divBdr>
                    <w:top w:val="none" w:sz="0" w:space="0" w:color="auto"/>
                    <w:left w:val="none" w:sz="0" w:space="0" w:color="auto"/>
                    <w:bottom w:val="none" w:sz="0" w:space="0" w:color="auto"/>
                    <w:right w:val="none" w:sz="0" w:space="0" w:color="auto"/>
                  </w:divBdr>
                </w:div>
                <w:div w:id="1825274111">
                  <w:marLeft w:val="2160"/>
                  <w:marRight w:val="0"/>
                  <w:marTop w:val="0"/>
                  <w:marBottom w:val="101"/>
                  <w:divBdr>
                    <w:top w:val="none" w:sz="0" w:space="0" w:color="auto"/>
                    <w:left w:val="none" w:sz="0" w:space="0" w:color="auto"/>
                    <w:bottom w:val="none" w:sz="0" w:space="0" w:color="auto"/>
                    <w:right w:val="none" w:sz="0" w:space="0" w:color="auto"/>
                  </w:divBdr>
                </w:div>
                <w:div w:id="128594235">
                  <w:marLeft w:val="2592"/>
                  <w:marRight w:val="0"/>
                  <w:marTop w:val="0"/>
                  <w:marBottom w:val="101"/>
                  <w:divBdr>
                    <w:top w:val="none" w:sz="0" w:space="0" w:color="auto"/>
                    <w:left w:val="none" w:sz="0" w:space="0" w:color="auto"/>
                    <w:bottom w:val="none" w:sz="0" w:space="0" w:color="auto"/>
                    <w:right w:val="none" w:sz="0" w:space="0" w:color="auto"/>
                  </w:divBdr>
                </w:div>
                <w:div w:id="1091656535">
                  <w:marLeft w:val="2592"/>
                  <w:marRight w:val="0"/>
                  <w:marTop w:val="0"/>
                  <w:marBottom w:val="70"/>
                  <w:divBdr>
                    <w:top w:val="none" w:sz="0" w:space="0" w:color="auto"/>
                    <w:left w:val="none" w:sz="0" w:space="0" w:color="auto"/>
                    <w:bottom w:val="none" w:sz="0" w:space="0" w:color="auto"/>
                    <w:right w:val="none" w:sz="0" w:space="0" w:color="auto"/>
                  </w:divBdr>
                </w:div>
                <w:div w:id="975917739">
                  <w:marLeft w:val="2592"/>
                  <w:marRight w:val="0"/>
                  <w:marTop w:val="0"/>
                  <w:marBottom w:val="70"/>
                  <w:divBdr>
                    <w:top w:val="none" w:sz="0" w:space="0" w:color="auto"/>
                    <w:left w:val="none" w:sz="0" w:space="0" w:color="auto"/>
                    <w:bottom w:val="none" w:sz="0" w:space="0" w:color="auto"/>
                    <w:right w:val="none" w:sz="0" w:space="0" w:color="auto"/>
                  </w:divBdr>
                </w:div>
                <w:div w:id="353385402">
                  <w:marLeft w:val="2592"/>
                  <w:marRight w:val="0"/>
                  <w:marTop w:val="0"/>
                  <w:marBottom w:val="70"/>
                  <w:divBdr>
                    <w:top w:val="none" w:sz="0" w:space="0" w:color="auto"/>
                    <w:left w:val="none" w:sz="0" w:space="0" w:color="auto"/>
                    <w:bottom w:val="none" w:sz="0" w:space="0" w:color="auto"/>
                    <w:right w:val="none" w:sz="0" w:space="0" w:color="auto"/>
                  </w:divBdr>
                </w:div>
                <w:div w:id="1916938413">
                  <w:marLeft w:val="2592"/>
                  <w:marRight w:val="0"/>
                  <w:marTop w:val="0"/>
                  <w:marBottom w:val="70"/>
                  <w:divBdr>
                    <w:top w:val="none" w:sz="0" w:space="0" w:color="auto"/>
                    <w:left w:val="none" w:sz="0" w:space="0" w:color="auto"/>
                    <w:bottom w:val="none" w:sz="0" w:space="0" w:color="auto"/>
                    <w:right w:val="none" w:sz="0" w:space="0" w:color="auto"/>
                  </w:divBdr>
                </w:div>
                <w:div w:id="2059352667">
                  <w:marLeft w:val="2592"/>
                  <w:marRight w:val="0"/>
                  <w:marTop w:val="0"/>
                  <w:marBottom w:val="70"/>
                  <w:divBdr>
                    <w:top w:val="none" w:sz="0" w:space="0" w:color="auto"/>
                    <w:left w:val="none" w:sz="0" w:space="0" w:color="auto"/>
                    <w:bottom w:val="none" w:sz="0" w:space="0" w:color="auto"/>
                    <w:right w:val="none" w:sz="0" w:space="0" w:color="auto"/>
                  </w:divBdr>
                </w:div>
                <w:div w:id="1544516015">
                  <w:marLeft w:val="2592"/>
                  <w:marRight w:val="0"/>
                  <w:marTop w:val="0"/>
                  <w:marBottom w:val="70"/>
                  <w:divBdr>
                    <w:top w:val="none" w:sz="0" w:space="0" w:color="auto"/>
                    <w:left w:val="none" w:sz="0" w:space="0" w:color="auto"/>
                    <w:bottom w:val="none" w:sz="0" w:space="0" w:color="auto"/>
                    <w:right w:val="none" w:sz="0" w:space="0" w:color="auto"/>
                  </w:divBdr>
                </w:div>
                <w:div w:id="37559153">
                  <w:marLeft w:val="2592"/>
                  <w:marRight w:val="0"/>
                  <w:marTop w:val="0"/>
                  <w:marBottom w:val="70"/>
                  <w:divBdr>
                    <w:top w:val="none" w:sz="0" w:space="0" w:color="auto"/>
                    <w:left w:val="none" w:sz="0" w:space="0" w:color="auto"/>
                    <w:bottom w:val="none" w:sz="0" w:space="0" w:color="auto"/>
                    <w:right w:val="none" w:sz="0" w:space="0" w:color="auto"/>
                  </w:divBdr>
                </w:div>
                <w:div w:id="1165510712">
                  <w:marLeft w:val="2592"/>
                  <w:marRight w:val="0"/>
                  <w:marTop w:val="0"/>
                  <w:marBottom w:val="70"/>
                  <w:divBdr>
                    <w:top w:val="none" w:sz="0" w:space="0" w:color="auto"/>
                    <w:left w:val="none" w:sz="0" w:space="0" w:color="auto"/>
                    <w:bottom w:val="none" w:sz="0" w:space="0" w:color="auto"/>
                    <w:right w:val="none" w:sz="0" w:space="0" w:color="auto"/>
                  </w:divBdr>
                </w:div>
                <w:div w:id="638153030">
                  <w:marLeft w:val="2592"/>
                  <w:marRight w:val="0"/>
                  <w:marTop w:val="0"/>
                  <w:marBottom w:val="70"/>
                  <w:divBdr>
                    <w:top w:val="none" w:sz="0" w:space="0" w:color="auto"/>
                    <w:left w:val="none" w:sz="0" w:space="0" w:color="auto"/>
                    <w:bottom w:val="none" w:sz="0" w:space="0" w:color="auto"/>
                    <w:right w:val="none" w:sz="0" w:space="0" w:color="auto"/>
                  </w:divBdr>
                </w:div>
                <w:div w:id="562372943">
                  <w:marLeft w:val="1440"/>
                  <w:marRight w:val="0"/>
                  <w:marTop w:val="0"/>
                  <w:marBottom w:val="70"/>
                  <w:divBdr>
                    <w:top w:val="none" w:sz="0" w:space="0" w:color="auto"/>
                    <w:left w:val="none" w:sz="0" w:space="0" w:color="auto"/>
                    <w:bottom w:val="none" w:sz="0" w:space="0" w:color="auto"/>
                    <w:right w:val="none" w:sz="0" w:space="0" w:color="auto"/>
                  </w:divBdr>
                </w:div>
                <w:div w:id="1896815131">
                  <w:marLeft w:val="1440"/>
                  <w:marRight w:val="0"/>
                  <w:marTop w:val="0"/>
                  <w:marBottom w:val="70"/>
                  <w:divBdr>
                    <w:top w:val="none" w:sz="0" w:space="0" w:color="auto"/>
                    <w:left w:val="none" w:sz="0" w:space="0" w:color="auto"/>
                    <w:bottom w:val="none" w:sz="0" w:space="0" w:color="auto"/>
                    <w:right w:val="none" w:sz="0" w:space="0" w:color="auto"/>
                  </w:divBdr>
                </w:div>
                <w:div w:id="351340279">
                  <w:marLeft w:val="1440"/>
                  <w:marRight w:val="0"/>
                  <w:marTop w:val="0"/>
                  <w:marBottom w:val="70"/>
                  <w:divBdr>
                    <w:top w:val="none" w:sz="0" w:space="0" w:color="auto"/>
                    <w:left w:val="none" w:sz="0" w:space="0" w:color="auto"/>
                    <w:bottom w:val="none" w:sz="0" w:space="0" w:color="auto"/>
                    <w:right w:val="none" w:sz="0" w:space="0" w:color="auto"/>
                  </w:divBdr>
                </w:div>
                <w:div w:id="1011375585">
                  <w:marLeft w:val="1440"/>
                  <w:marRight w:val="0"/>
                  <w:marTop w:val="0"/>
                  <w:marBottom w:val="70"/>
                  <w:divBdr>
                    <w:top w:val="none" w:sz="0" w:space="0" w:color="auto"/>
                    <w:left w:val="none" w:sz="0" w:space="0" w:color="auto"/>
                    <w:bottom w:val="none" w:sz="0" w:space="0" w:color="auto"/>
                    <w:right w:val="none" w:sz="0" w:space="0" w:color="auto"/>
                  </w:divBdr>
                </w:div>
                <w:div w:id="599602168">
                  <w:marLeft w:val="1440"/>
                  <w:marRight w:val="0"/>
                  <w:marTop w:val="0"/>
                  <w:marBottom w:val="101"/>
                  <w:divBdr>
                    <w:top w:val="none" w:sz="0" w:space="0" w:color="auto"/>
                    <w:left w:val="none" w:sz="0" w:space="0" w:color="auto"/>
                    <w:bottom w:val="none" w:sz="0" w:space="0" w:color="auto"/>
                    <w:right w:val="none" w:sz="0" w:space="0" w:color="auto"/>
                  </w:divBdr>
                </w:div>
                <w:div w:id="1455052368">
                  <w:marLeft w:val="1440"/>
                  <w:marRight w:val="0"/>
                  <w:marTop w:val="0"/>
                  <w:marBottom w:val="74"/>
                  <w:divBdr>
                    <w:top w:val="none" w:sz="0" w:space="0" w:color="auto"/>
                    <w:left w:val="none" w:sz="0" w:space="0" w:color="auto"/>
                    <w:bottom w:val="none" w:sz="0" w:space="0" w:color="auto"/>
                    <w:right w:val="none" w:sz="0" w:space="0" w:color="auto"/>
                  </w:divBdr>
                </w:div>
                <w:div w:id="1480538055">
                  <w:marLeft w:val="1440"/>
                  <w:marRight w:val="0"/>
                  <w:marTop w:val="0"/>
                  <w:marBottom w:val="74"/>
                  <w:divBdr>
                    <w:top w:val="none" w:sz="0" w:space="0" w:color="auto"/>
                    <w:left w:val="none" w:sz="0" w:space="0" w:color="auto"/>
                    <w:bottom w:val="none" w:sz="0" w:space="0" w:color="auto"/>
                    <w:right w:val="none" w:sz="0" w:space="0" w:color="auto"/>
                  </w:divBdr>
                </w:div>
                <w:div w:id="1838767555">
                  <w:marLeft w:val="1440"/>
                  <w:marRight w:val="0"/>
                  <w:marTop w:val="0"/>
                  <w:marBottom w:val="74"/>
                  <w:divBdr>
                    <w:top w:val="none" w:sz="0" w:space="0" w:color="auto"/>
                    <w:left w:val="none" w:sz="0" w:space="0" w:color="auto"/>
                    <w:bottom w:val="none" w:sz="0" w:space="0" w:color="auto"/>
                    <w:right w:val="none" w:sz="0" w:space="0" w:color="auto"/>
                  </w:divBdr>
                </w:div>
                <w:div w:id="770323484">
                  <w:marLeft w:val="1440"/>
                  <w:marRight w:val="0"/>
                  <w:marTop w:val="0"/>
                  <w:marBottom w:val="74"/>
                  <w:divBdr>
                    <w:top w:val="none" w:sz="0" w:space="0" w:color="auto"/>
                    <w:left w:val="none" w:sz="0" w:space="0" w:color="auto"/>
                    <w:bottom w:val="none" w:sz="0" w:space="0" w:color="auto"/>
                    <w:right w:val="none" w:sz="0" w:space="0" w:color="auto"/>
                  </w:divBdr>
                </w:div>
                <w:div w:id="895551806">
                  <w:marLeft w:val="1440"/>
                  <w:marRight w:val="0"/>
                  <w:marTop w:val="0"/>
                  <w:marBottom w:val="74"/>
                  <w:divBdr>
                    <w:top w:val="none" w:sz="0" w:space="0" w:color="auto"/>
                    <w:left w:val="none" w:sz="0" w:space="0" w:color="auto"/>
                    <w:bottom w:val="none" w:sz="0" w:space="0" w:color="auto"/>
                    <w:right w:val="none" w:sz="0" w:space="0" w:color="auto"/>
                  </w:divBdr>
                </w:div>
                <w:div w:id="576747124">
                  <w:marLeft w:val="1440"/>
                  <w:marRight w:val="0"/>
                  <w:marTop w:val="0"/>
                  <w:marBottom w:val="74"/>
                  <w:divBdr>
                    <w:top w:val="none" w:sz="0" w:space="0" w:color="auto"/>
                    <w:left w:val="none" w:sz="0" w:space="0" w:color="auto"/>
                    <w:bottom w:val="none" w:sz="0" w:space="0" w:color="auto"/>
                    <w:right w:val="none" w:sz="0" w:space="0" w:color="auto"/>
                  </w:divBdr>
                </w:div>
                <w:div w:id="1596553439">
                  <w:marLeft w:val="1440"/>
                  <w:marRight w:val="0"/>
                  <w:marTop w:val="0"/>
                  <w:marBottom w:val="74"/>
                  <w:divBdr>
                    <w:top w:val="none" w:sz="0" w:space="0" w:color="auto"/>
                    <w:left w:val="none" w:sz="0" w:space="0" w:color="auto"/>
                    <w:bottom w:val="none" w:sz="0" w:space="0" w:color="auto"/>
                    <w:right w:val="none" w:sz="0" w:space="0" w:color="auto"/>
                  </w:divBdr>
                </w:div>
                <w:div w:id="713967749">
                  <w:marLeft w:val="1440"/>
                  <w:marRight w:val="0"/>
                  <w:marTop w:val="0"/>
                  <w:marBottom w:val="74"/>
                  <w:divBdr>
                    <w:top w:val="none" w:sz="0" w:space="0" w:color="auto"/>
                    <w:left w:val="none" w:sz="0" w:space="0" w:color="auto"/>
                    <w:bottom w:val="none" w:sz="0" w:space="0" w:color="auto"/>
                    <w:right w:val="none" w:sz="0" w:space="0" w:color="auto"/>
                  </w:divBdr>
                </w:div>
                <w:div w:id="918565798">
                  <w:marLeft w:val="2160"/>
                  <w:marRight w:val="0"/>
                  <w:marTop w:val="0"/>
                  <w:marBottom w:val="74"/>
                  <w:divBdr>
                    <w:top w:val="none" w:sz="0" w:space="0" w:color="auto"/>
                    <w:left w:val="none" w:sz="0" w:space="0" w:color="auto"/>
                    <w:bottom w:val="none" w:sz="0" w:space="0" w:color="auto"/>
                    <w:right w:val="none" w:sz="0" w:space="0" w:color="auto"/>
                  </w:divBdr>
                </w:div>
                <w:div w:id="1825702601">
                  <w:marLeft w:val="2160"/>
                  <w:marRight w:val="0"/>
                  <w:marTop w:val="0"/>
                  <w:marBottom w:val="74"/>
                  <w:divBdr>
                    <w:top w:val="none" w:sz="0" w:space="0" w:color="auto"/>
                    <w:left w:val="none" w:sz="0" w:space="0" w:color="auto"/>
                    <w:bottom w:val="none" w:sz="0" w:space="0" w:color="auto"/>
                    <w:right w:val="none" w:sz="0" w:space="0" w:color="auto"/>
                  </w:divBdr>
                </w:div>
                <w:div w:id="1358776345">
                  <w:marLeft w:val="2160"/>
                  <w:marRight w:val="0"/>
                  <w:marTop w:val="0"/>
                  <w:marBottom w:val="74"/>
                  <w:divBdr>
                    <w:top w:val="none" w:sz="0" w:space="0" w:color="auto"/>
                    <w:left w:val="none" w:sz="0" w:space="0" w:color="auto"/>
                    <w:bottom w:val="none" w:sz="0" w:space="0" w:color="auto"/>
                    <w:right w:val="none" w:sz="0" w:space="0" w:color="auto"/>
                  </w:divBdr>
                </w:div>
                <w:div w:id="342168826">
                  <w:marLeft w:val="2160"/>
                  <w:marRight w:val="0"/>
                  <w:marTop w:val="0"/>
                  <w:marBottom w:val="74"/>
                  <w:divBdr>
                    <w:top w:val="none" w:sz="0" w:space="0" w:color="auto"/>
                    <w:left w:val="none" w:sz="0" w:space="0" w:color="auto"/>
                    <w:bottom w:val="none" w:sz="0" w:space="0" w:color="auto"/>
                    <w:right w:val="none" w:sz="0" w:space="0" w:color="auto"/>
                  </w:divBdr>
                </w:div>
                <w:div w:id="1501386634">
                  <w:marLeft w:val="1440"/>
                  <w:marRight w:val="0"/>
                  <w:marTop w:val="0"/>
                  <w:marBottom w:val="101"/>
                  <w:divBdr>
                    <w:top w:val="none" w:sz="0" w:space="0" w:color="auto"/>
                    <w:left w:val="none" w:sz="0" w:space="0" w:color="auto"/>
                    <w:bottom w:val="none" w:sz="0" w:space="0" w:color="auto"/>
                    <w:right w:val="none" w:sz="0" w:space="0" w:color="auto"/>
                  </w:divBdr>
                </w:div>
                <w:div w:id="1991598494">
                  <w:marLeft w:val="1440"/>
                  <w:marRight w:val="0"/>
                  <w:marTop w:val="0"/>
                  <w:marBottom w:val="80"/>
                  <w:divBdr>
                    <w:top w:val="none" w:sz="0" w:space="0" w:color="auto"/>
                    <w:left w:val="none" w:sz="0" w:space="0" w:color="auto"/>
                    <w:bottom w:val="none" w:sz="0" w:space="0" w:color="auto"/>
                    <w:right w:val="none" w:sz="0" w:space="0" w:color="auto"/>
                  </w:divBdr>
                </w:div>
                <w:div w:id="440271546">
                  <w:marLeft w:val="1440"/>
                  <w:marRight w:val="0"/>
                  <w:marTop w:val="0"/>
                  <w:marBottom w:val="80"/>
                  <w:divBdr>
                    <w:top w:val="none" w:sz="0" w:space="0" w:color="auto"/>
                    <w:left w:val="none" w:sz="0" w:space="0" w:color="auto"/>
                    <w:bottom w:val="none" w:sz="0" w:space="0" w:color="auto"/>
                    <w:right w:val="none" w:sz="0" w:space="0" w:color="auto"/>
                  </w:divBdr>
                </w:div>
                <w:div w:id="688683517">
                  <w:marLeft w:val="1440"/>
                  <w:marRight w:val="0"/>
                  <w:marTop w:val="0"/>
                  <w:marBottom w:val="80"/>
                  <w:divBdr>
                    <w:top w:val="none" w:sz="0" w:space="0" w:color="auto"/>
                    <w:left w:val="none" w:sz="0" w:space="0" w:color="auto"/>
                    <w:bottom w:val="none" w:sz="0" w:space="0" w:color="auto"/>
                    <w:right w:val="none" w:sz="0" w:space="0" w:color="auto"/>
                  </w:divBdr>
                </w:div>
                <w:div w:id="501243301">
                  <w:marLeft w:val="1440"/>
                  <w:marRight w:val="0"/>
                  <w:marTop w:val="0"/>
                  <w:marBottom w:val="80"/>
                  <w:divBdr>
                    <w:top w:val="none" w:sz="0" w:space="0" w:color="auto"/>
                    <w:left w:val="none" w:sz="0" w:space="0" w:color="auto"/>
                    <w:bottom w:val="none" w:sz="0" w:space="0" w:color="auto"/>
                    <w:right w:val="none" w:sz="0" w:space="0" w:color="auto"/>
                  </w:divBdr>
                </w:div>
                <w:div w:id="907306402">
                  <w:marLeft w:val="1440"/>
                  <w:marRight w:val="0"/>
                  <w:marTop w:val="0"/>
                  <w:marBottom w:val="80"/>
                  <w:divBdr>
                    <w:top w:val="none" w:sz="0" w:space="0" w:color="auto"/>
                    <w:left w:val="none" w:sz="0" w:space="0" w:color="auto"/>
                    <w:bottom w:val="none" w:sz="0" w:space="0" w:color="auto"/>
                    <w:right w:val="none" w:sz="0" w:space="0" w:color="auto"/>
                  </w:divBdr>
                </w:div>
                <w:div w:id="453518748">
                  <w:marLeft w:val="1440"/>
                  <w:marRight w:val="0"/>
                  <w:marTop w:val="0"/>
                  <w:marBottom w:val="80"/>
                  <w:divBdr>
                    <w:top w:val="none" w:sz="0" w:space="0" w:color="auto"/>
                    <w:left w:val="none" w:sz="0" w:space="0" w:color="auto"/>
                    <w:bottom w:val="none" w:sz="0" w:space="0" w:color="auto"/>
                    <w:right w:val="none" w:sz="0" w:space="0" w:color="auto"/>
                  </w:divBdr>
                </w:div>
                <w:div w:id="1375076787">
                  <w:marLeft w:val="1440"/>
                  <w:marRight w:val="0"/>
                  <w:marTop w:val="0"/>
                  <w:marBottom w:val="80"/>
                  <w:divBdr>
                    <w:top w:val="none" w:sz="0" w:space="0" w:color="auto"/>
                    <w:left w:val="none" w:sz="0" w:space="0" w:color="auto"/>
                    <w:bottom w:val="none" w:sz="0" w:space="0" w:color="auto"/>
                    <w:right w:val="none" w:sz="0" w:space="0" w:color="auto"/>
                  </w:divBdr>
                </w:div>
                <w:div w:id="1104761555">
                  <w:marLeft w:val="1440"/>
                  <w:marRight w:val="0"/>
                  <w:marTop w:val="0"/>
                  <w:marBottom w:val="80"/>
                  <w:divBdr>
                    <w:top w:val="none" w:sz="0" w:space="0" w:color="auto"/>
                    <w:left w:val="none" w:sz="0" w:space="0" w:color="auto"/>
                    <w:bottom w:val="none" w:sz="0" w:space="0" w:color="auto"/>
                    <w:right w:val="none" w:sz="0" w:space="0" w:color="auto"/>
                  </w:divBdr>
                </w:div>
                <w:div w:id="401678860">
                  <w:marLeft w:val="1440"/>
                  <w:marRight w:val="0"/>
                  <w:marTop w:val="0"/>
                  <w:marBottom w:val="80"/>
                  <w:divBdr>
                    <w:top w:val="none" w:sz="0" w:space="0" w:color="auto"/>
                    <w:left w:val="none" w:sz="0" w:space="0" w:color="auto"/>
                    <w:bottom w:val="none" w:sz="0" w:space="0" w:color="auto"/>
                    <w:right w:val="none" w:sz="0" w:space="0" w:color="auto"/>
                  </w:divBdr>
                </w:div>
                <w:div w:id="667052110">
                  <w:marLeft w:val="1440"/>
                  <w:marRight w:val="0"/>
                  <w:marTop w:val="0"/>
                  <w:marBottom w:val="80"/>
                  <w:divBdr>
                    <w:top w:val="none" w:sz="0" w:space="0" w:color="auto"/>
                    <w:left w:val="none" w:sz="0" w:space="0" w:color="auto"/>
                    <w:bottom w:val="none" w:sz="0" w:space="0" w:color="auto"/>
                    <w:right w:val="none" w:sz="0" w:space="0" w:color="auto"/>
                  </w:divBdr>
                </w:div>
                <w:div w:id="334455530">
                  <w:marLeft w:val="1440"/>
                  <w:marRight w:val="0"/>
                  <w:marTop w:val="0"/>
                  <w:marBottom w:val="80"/>
                  <w:divBdr>
                    <w:top w:val="none" w:sz="0" w:space="0" w:color="auto"/>
                    <w:left w:val="none" w:sz="0" w:space="0" w:color="auto"/>
                    <w:bottom w:val="none" w:sz="0" w:space="0" w:color="auto"/>
                    <w:right w:val="none" w:sz="0" w:space="0" w:color="auto"/>
                  </w:divBdr>
                </w:div>
                <w:div w:id="1498308870">
                  <w:marLeft w:val="1440"/>
                  <w:marRight w:val="0"/>
                  <w:marTop w:val="0"/>
                  <w:marBottom w:val="80"/>
                  <w:divBdr>
                    <w:top w:val="none" w:sz="0" w:space="0" w:color="auto"/>
                    <w:left w:val="none" w:sz="0" w:space="0" w:color="auto"/>
                    <w:bottom w:val="none" w:sz="0" w:space="0" w:color="auto"/>
                    <w:right w:val="none" w:sz="0" w:space="0" w:color="auto"/>
                  </w:divBdr>
                </w:div>
                <w:div w:id="1511138222">
                  <w:marLeft w:val="0"/>
                  <w:marRight w:val="0"/>
                  <w:marTop w:val="0"/>
                  <w:marBottom w:val="80"/>
                  <w:divBdr>
                    <w:top w:val="none" w:sz="0" w:space="0" w:color="auto"/>
                    <w:left w:val="none" w:sz="0" w:space="0" w:color="auto"/>
                    <w:bottom w:val="none" w:sz="0" w:space="0" w:color="auto"/>
                    <w:right w:val="none" w:sz="0" w:space="0" w:color="auto"/>
                  </w:divBdr>
                </w:div>
                <w:div w:id="1422487127">
                  <w:marLeft w:val="0"/>
                  <w:marRight w:val="0"/>
                  <w:marTop w:val="0"/>
                  <w:marBottom w:val="80"/>
                  <w:divBdr>
                    <w:top w:val="none" w:sz="0" w:space="0" w:color="auto"/>
                    <w:left w:val="none" w:sz="0" w:space="0" w:color="auto"/>
                    <w:bottom w:val="none" w:sz="0" w:space="0" w:color="auto"/>
                    <w:right w:val="none" w:sz="0" w:space="0" w:color="auto"/>
                  </w:divBdr>
                </w:div>
                <w:div w:id="569114827">
                  <w:marLeft w:val="0"/>
                  <w:marRight w:val="0"/>
                  <w:marTop w:val="0"/>
                  <w:marBottom w:val="40"/>
                  <w:divBdr>
                    <w:top w:val="none" w:sz="0" w:space="0" w:color="auto"/>
                    <w:left w:val="none" w:sz="0" w:space="0" w:color="auto"/>
                    <w:bottom w:val="none" w:sz="0" w:space="0" w:color="auto"/>
                    <w:right w:val="none" w:sz="0" w:space="0" w:color="auto"/>
                  </w:divBdr>
                </w:div>
                <w:div w:id="1628659503">
                  <w:marLeft w:val="0"/>
                  <w:marRight w:val="0"/>
                  <w:marTop w:val="0"/>
                  <w:marBottom w:val="40"/>
                  <w:divBdr>
                    <w:top w:val="none" w:sz="0" w:space="0" w:color="auto"/>
                    <w:left w:val="none" w:sz="0" w:space="0" w:color="auto"/>
                    <w:bottom w:val="none" w:sz="0" w:space="0" w:color="auto"/>
                    <w:right w:val="none" w:sz="0" w:space="0" w:color="auto"/>
                  </w:divBdr>
                </w:div>
                <w:div w:id="589975058">
                  <w:marLeft w:val="0"/>
                  <w:marRight w:val="0"/>
                  <w:marTop w:val="0"/>
                  <w:marBottom w:val="40"/>
                  <w:divBdr>
                    <w:top w:val="none" w:sz="0" w:space="0" w:color="auto"/>
                    <w:left w:val="none" w:sz="0" w:space="0" w:color="auto"/>
                    <w:bottom w:val="none" w:sz="0" w:space="0" w:color="auto"/>
                    <w:right w:val="none" w:sz="0" w:space="0" w:color="auto"/>
                  </w:divBdr>
                </w:div>
                <w:div w:id="782310741">
                  <w:marLeft w:val="0"/>
                  <w:marRight w:val="0"/>
                  <w:marTop w:val="0"/>
                  <w:marBottom w:val="40"/>
                  <w:divBdr>
                    <w:top w:val="none" w:sz="0" w:space="0" w:color="auto"/>
                    <w:left w:val="none" w:sz="0" w:space="0" w:color="auto"/>
                    <w:bottom w:val="none" w:sz="0" w:space="0" w:color="auto"/>
                    <w:right w:val="none" w:sz="0" w:space="0" w:color="auto"/>
                  </w:divBdr>
                </w:div>
                <w:div w:id="1452285959">
                  <w:marLeft w:val="0"/>
                  <w:marRight w:val="0"/>
                  <w:marTop w:val="0"/>
                  <w:marBottom w:val="40"/>
                  <w:divBdr>
                    <w:top w:val="none" w:sz="0" w:space="0" w:color="auto"/>
                    <w:left w:val="none" w:sz="0" w:space="0" w:color="auto"/>
                    <w:bottom w:val="none" w:sz="0" w:space="0" w:color="auto"/>
                    <w:right w:val="none" w:sz="0" w:space="0" w:color="auto"/>
                  </w:divBdr>
                </w:div>
                <w:div w:id="959803475">
                  <w:marLeft w:val="0"/>
                  <w:marRight w:val="0"/>
                  <w:marTop w:val="0"/>
                  <w:marBottom w:val="40"/>
                  <w:divBdr>
                    <w:top w:val="none" w:sz="0" w:space="0" w:color="auto"/>
                    <w:left w:val="none" w:sz="0" w:space="0" w:color="auto"/>
                    <w:bottom w:val="none" w:sz="0" w:space="0" w:color="auto"/>
                    <w:right w:val="none" w:sz="0" w:space="0" w:color="auto"/>
                  </w:divBdr>
                </w:div>
                <w:div w:id="1371757181">
                  <w:marLeft w:val="0"/>
                  <w:marRight w:val="0"/>
                  <w:marTop w:val="0"/>
                  <w:marBottom w:val="40"/>
                  <w:divBdr>
                    <w:top w:val="none" w:sz="0" w:space="0" w:color="auto"/>
                    <w:left w:val="none" w:sz="0" w:space="0" w:color="auto"/>
                    <w:bottom w:val="none" w:sz="0" w:space="0" w:color="auto"/>
                    <w:right w:val="none" w:sz="0" w:space="0" w:color="auto"/>
                  </w:divBdr>
                </w:div>
                <w:div w:id="38021626">
                  <w:marLeft w:val="0"/>
                  <w:marRight w:val="0"/>
                  <w:marTop w:val="0"/>
                  <w:marBottom w:val="40"/>
                  <w:divBdr>
                    <w:top w:val="none" w:sz="0" w:space="0" w:color="auto"/>
                    <w:left w:val="none" w:sz="0" w:space="0" w:color="auto"/>
                    <w:bottom w:val="none" w:sz="0" w:space="0" w:color="auto"/>
                    <w:right w:val="none" w:sz="0" w:space="0" w:color="auto"/>
                  </w:divBdr>
                </w:div>
                <w:div w:id="1696154873">
                  <w:marLeft w:val="0"/>
                  <w:marRight w:val="0"/>
                  <w:marTop w:val="0"/>
                  <w:marBottom w:val="40"/>
                  <w:divBdr>
                    <w:top w:val="none" w:sz="0" w:space="0" w:color="auto"/>
                    <w:left w:val="none" w:sz="0" w:space="0" w:color="auto"/>
                    <w:bottom w:val="none" w:sz="0" w:space="0" w:color="auto"/>
                    <w:right w:val="none" w:sz="0" w:space="0" w:color="auto"/>
                  </w:divBdr>
                </w:div>
                <w:div w:id="692151171">
                  <w:marLeft w:val="0"/>
                  <w:marRight w:val="0"/>
                  <w:marTop w:val="0"/>
                  <w:marBottom w:val="40"/>
                  <w:divBdr>
                    <w:top w:val="none" w:sz="0" w:space="0" w:color="auto"/>
                    <w:left w:val="none" w:sz="0" w:space="0" w:color="auto"/>
                    <w:bottom w:val="none" w:sz="0" w:space="0" w:color="auto"/>
                    <w:right w:val="none" w:sz="0" w:space="0" w:color="auto"/>
                  </w:divBdr>
                </w:div>
                <w:div w:id="1060521851">
                  <w:marLeft w:val="0"/>
                  <w:marRight w:val="0"/>
                  <w:marTop w:val="0"/>
                  <w:marBottom w:val="40"/>
                  <w:divBdr>
                    <w:top w:val="none" w:sz="0" w:space="0" w:color="auto"/>
                    <w:left w:val="none" w:sz="0" w:space="0" w:color="auto"/>
                    <w:bottom w:val="none" w:sz="0" w:space="0" w:color="auto"/>
                    <w:right w:val="none" w:sz="0" w:space="0" w:color="auto"/>
                  </w:divBdr>
                </w:div>
                <w:div w:id="1726367757">
                  <w:marLeft w:val="0"/>
                  <w:marRight w:val="0"/>
                  <w:marTop w:val="0"/>
                  <w:marBottom w:val="40"/>
                  <w:divBdr>
                    <w:top w:val="none" w:sz="0" w:space="0" w:color="auto"/>
                    <w:left w:val="none" w:sz="0" w:space="0" w:color="auto"/>
                    <w:bottom w:val="none" w:sz="0" w:space="0" w:color="auto"/>
                    <w:right w:val="none" w:sz="0" w:space="0" w:color="auto"/>
                  </w:divBdr>
                </w:div>
                <w:div w:id="1037240837">
                  <w:marLeft w:val="0"/>
                  <w:marRight w:val="0"/>
                  <w:marTop w:val="0"/>
                  <w:marBottom w:val="40"/>
                  <w:divBdr>
                    <w:top w:val="none" w:sz="0" w:space="0" w:color="auto"/>
                    <w:left w:val="none" w:sz="0" w:space="0" w:color="auto"/>
                    <w:bottom w:val="none" w:sz="0" w:space="0" w:color="auto"/>
                    <w:right w:val="none" w:sz="0" w:space="0" w:color="auto"/>
                  </w:divBdr>
                </w:div>
                <w:div w:id="1816609145">
                  <w:marLeft w:val="0"/>
                  <w:marRight w:val="0"/>
                  <w:marTop w:val="0"/>
                  <w:marBottom w:val="40"/>
                  <w:divBdr>
                    <w:top w:val="none" w:sz="0" w:space="0" w:color="auto"/>
                    <w:left w:val="none" w:sz="0" w:space="0" w:color="auto"/>
                    <w:bottom w:val="none" w:sz="0" w:space="0" w:color="auto"/>
                    <w:right w:val="none" w:sz="0" w:space="0" w:color="auto"/>
                  </w:divBdr>
                </w:div>
                <w:div w:id="1823619688">
                  <w:marLeft w:val="0"/>
                  <w:marRight w:val="0"/>
                  <w:marTop w:val="0"/>
                  <w:marBottom w:val="40"/>
                  <w:divBdr>
                    <w:top w:val="none" w:sz="0" w:space="0" w:color="auto"/>
                    <w:left w:val="none" w:sz="0" w:space="0" w:color="auto"/>
                    <w:bottom w:val="none" w:sz="0" w:space="0" w:color="auto"/>
                    <w:right w:val="none" w:sz="0" w:space="0" w:color="auto"/>
                  </w:divBdr>
                </w:div>
                <w:div w:id="793448451">
                  <w:marLeft w:val="0"/>
                  <w:marRight w:val="0"/>
                  <w:marTop w:val="0"/>
                  <w:marBottom w:val="40"/>
                  <w:divBdr>
                    <w:top w:val="none" w:sz="0" w:space="0" w:color="auto"/>
                    <w:left w:val="none" w:sz="0" w:space="0" w:color="auto"/>
                    <w:bottom w:val="none" w:sz="0" w:space="0" w:color="auto"/>
                    <w:right w:val="none" w:sz="0" w:space="0" w:color="auto"/>
                  </w:divBdr>
                </w:div>
                <w:div w:id="1186595325">
                  <w:marLeft w:val="0"/>
                  <w:marRight w:val="0"/>
                  <w:marTop w:val="0"/>
                  <w:marBottom w:val="40"/>
                  <w:divBdr>
                    <w:top w:val="none" w:sz="0" w:space="0" w:color="auto"/>
                    <w:left w:val="none" w:sz="0" w:space="0" w:color="auto"/>
                    <w:bottom w:val="none" w:sz="0" w:space="0" w:color="auto"/>
                    <w:right w:val="none" w:sz="0" w:space="0" w:color="auto"/>
                  </w:divBdr>
                </w:div>
                <w:div w:id="1538859709">
                  <w:marLeft w:val="0"/>
                  <w:marRight w:val="0"/>
                  <w:marTop w:val="0"/>
                  <w:marBottom w:val="40"/>
                  <w:divBdr>
                    <w:top w:val="none" w:sz="0" w:space="0" w:color="auto"/>
                    <w:left w:val="none" w:sz="0" w:space="0" w:color="auto"/>
                    <w:bottom w:val="none" w:sz="0" w:space="0" w:color="auto"/>
                    <w:right w:val="none" w:sz="0" w:space="0" w:color="auto"/>
                  </w:divBdr>
                </w:div>
                <w:div w:id="991567682">
                  <w:marLeft w:val="0"/>
                  <w:marRight w:val="0"/>
                  <w:marTop w:val="0"/>
                  <w:marBottom w:val="82"/>
                  <w:divBdr>
                    <w:top w:val="none" w:sz="0" w:space="0" w:color="auto"/>
                    <w:left w:val="none" w:sz="0" w:space="0" w:color="auto"/>
                    <w:bottom w:val="none" w:sz="0" w:space="0" w:color="auto"/>
                    <w:right w:val="none" w:sz="0" w:space="0" w:color="auto"/>
                  </w:divBdr>
                </w:div>
                <w:div w:id="1012417057">
                  <w:marLeft w:val="0"/>
                  <w:marRight w:val="0"/>
                  <w:marTop w:val="0"/>
                  <w:marBottom w:val="82"/>
                  <w:divBdr>
                    <w:top w:val="none" w:sz="0" w:space="0" w:color="auto"/>
                    <w:left w:val="none" w:sz="0" w:space="0" w:color="auto"/>
                    <w:bottom w:val="none" w:sz="0" w:space="0" w:color="auto"/>
                    <w:right w:val="none" w:sz="0" w:space="0" w:color="auto"/>
                  </w:divBdr>
                </w:div>
                <w:div w:id="2021934364">
                  <w:marLeft w:val="0"/>
                  <w:marRight w:val="0"/>
                  <w:marTop w:val="0"/>
                  <w:marBottom w:val="82"/>
                  <w:divBdr>
                    <w:top w:val="none" w:sz="0" w:space="0" w:color="auto"/>
                    <w:left w:val="none" w:sz="0" w:space="0" w:color="auto"/>
                    <w:bottom w:val="none" w:sz="0" w:space="0" w:color="auto"/>
                    <w:right w:val="none" w:sz="0" w:space="0" w:color="auto"/>
                  </w:divBdr>
                </w:div>
                <w:div w:id="1519199434">
                  <w:marLeft w:val="0"/>
                  <w:marRight w:val="0"/>
                  <w:marTop w:val="0"/>
                  <w:marBottom w:val="82"/>
                  <w:divBdr>
                    <w:top w:val="none" w:sz="0" w:space="0" w:color="auto"/>
                    <w:left w:val="none" w:sz="0" w:space="0" w:color="auto"/>
                    <w:bottom w:val="none" w:sz="0" w:space="0" w:color="auto"/>
                    <w:right w:val="none" w:sz="0" w:space="0" w:color="auto"/>
                  </w:divBdr>
                </w:div>
                <w:div w:id="1693259621">
                  <w:marLeft w:val="0"/>
                  <w:marRight w:val="0"/>
                  <w:marTop w:val="0"/>
                  <w:marBottom w:val="82"/>
                  <w:divBdr>
                    <w:top w:val="none" w:sz="0" w:space="0" w:color="auto"/>
                    <w:left w:val="none" w:sz="0" w:space="0" w:color="auto"/>
                    <w:bottom w:val="none" w:sz="0" w:space="0" w:color="auto"/>
                    <w:right w:val="none" w:sz="0" w:space="0" w:color="auto"/>
                  </w:divBdr>
                </w:div>
                <w:div w:id="372311953">
                  <w:marLeft w:val="0"/>
                  <w:marRight w:val="0"/>
                  <w:marTop w:val="0"/>
                  <w:marBottom w:val="82"/>
                  <w:divBdr>
                    <w:top w:val="none" w:sz="0" w:space="0" w:color="auto"/>
                    <w:left w:val="none" w:sz="0" w:space="0" w:color="auto"/>
                    <w:bottom w:val="none" w:sz="0" w:space="0" w:color="auto"/>
                    <w:right w:val="none" w:sz="0" w:space="0" w:color="auto"/>
                  </w:divBdr>
                </w:div>
                <w:div w:id="1086026937">
                  <w:marLeft w:val="0"/>
                  <w:marRight w:val="0"/>
                  <w:marTop w:val="0"/>
                  <w:marBottom w:val="82"/>
                  <w:divBdr>
                    <w:top w:val="none" w:sz="0" w:space="0" w:color="auto"/>
                    <w:left w:val="none" w:sz="0" w:space="0" w:color="auto"/>
                    <w:bottom w:val="none" w:sz="0" w:space="0" w:color="auto"/>
                    <w:right w:val="none" w:sz="0" w:space="0" w:color="auto"/>
                  </w:divBdr>
                </w:div>
                <w:div w:id="257762295">
                  <w:marLeft w:val="0"/>
                  <w:marRight w:val="0"/>
                  <w:marTop w:val="0"/>
                  <w:marBottom w:val="82"/>
                  <w:divBdr>
                    <w:top w:val="none" w:sz="0" w:space="0" w:color="auto"/>
                    <w:left w:val="none" w:sz="0" w:space="0" w:color="auto"/>
                    <w:bottom w:val="none" w:sz="0" w:space="0" w:color="auto"/>
                    <w:right w:val="none" w:sz="0" w:space="0" w:color="auto"/>
                  </w:divBdr>
                </w:div>
                <w:div w:id="1204487101">
                  <w:marLeft w:val="0"/>
                  <w:marRight w:val="0"/>
                  <w:marTop w:val="0"/>
                  <w:marBottom w:val="82"/>
                  <w:divBdr>
                    <w:top w:val="none" w:sz="0" w:space="0" w:color="auto"/>
                    <w:left w:val="none" w:sz="0" w:space="0" w:color="auto"/>
                    <w:bottom w:val="none" w:sz="0" w:space="0" w:color="auto"/>
                    <w:right w:val="none" w:sz="0" w:space="0" w:color="auto"/>
                  </w:divBdr>
                </w:div>
                <w:div w:id="1763258183">
                  <w:marLeft w:val="0"/>
                  <w:marRight w:val="0"/>
                  <w:marTop w:val="0"/>
                  <w:marBottom w:val="82"/>
                  <w:divBdr>
                    <w:top w:val="none" w:sz="0" w:space="0" w:color="auto"/>
                    <w:left w:val="none" w:sz="0" w:space="0" w:color="auto"/>
                    <w:bottom w:val="none" w:sz="0" w:space="0" w:color="auto"/>
                    <w:right w:val="none" w:sz="0" w:space="0" w:color="auto"/>
                  </w:divBdr>
                </w:div>
                <w:div w:id="975836789">
                  <w:marLeft w:val="0"/>
                  <w:marRight w:val="0"/>
                  <w:marTop w:val="0"/>
                  <w:marBottom w:val="82"/>
                  <w:divBdr>
                    <w:top w:val="none" w:sz="0" w:space="0" w:color="auto"/>
                    <w:left w:val="none" w:sz="0" w:space="0" w:color="auto"/>
                    <w:bottom w:val="none" w:sz="0" w:space="0" w:color="auto"/>
                    <w:right w:val="none" w:sz="0" w:space="0" w:color="auto"/>
                  </w:divBdr>
                </w:div>
                <w:div w:id="476143167">
                  <w:marLeft w:val="0"/>
                  <w:marRight w:val="0"/>
                  <w:marTop w:val="0"/>
                  <w:marBottom w:val="82"/>
                  <w:divBdr>
                    <w:top w:val="none" w:sz="0" w:space="0" w:color="auto"/>
                    <w:left w:val="none" w:sz="0" w:space="0" w:color="auto"/>
                    <w:bottom w:val="none" w:sz="0" w:space="0" w:color="auto"/>
                    <w:right w:val="none" w:sz="0" w:space="0" w:color="auto"/>
                  </w:divBdr>
                </w:div>
                <w:div w:id="1033262553">
                  <w:marLeft w:val="0"/>
                  <w:marRight w:val="0"/>
                  <w:marTop w:val="0"/>
                  <w:marBottom w:val="82"/>
                  <w:divBdr>
                    <w:top w:val="none" w:sz="0" w:space="0" w:color="auto"/>
                    <w:left w:val="none" w:sz="0" w:space="0" w:color="auto"/>
                    <w:bottom w:val="none" w:sz="0" w:space="0" w:color="auto"/>
                    <w:right w:val="none" w:sz="0" w:space="0" w:color="auto"/>
                  </w:divBdr>
                </w:div>
                <w:div w:id="2015103594">
                  <w:marLeft w:val="0"/>
                  <w:marRight w:val="0"/>
                  <w:marTop w:val="0"/>
                  <w:marBottom w:val="82"/>
                  <w:divBdr>
                    <w:top w:val="none" w:sz="0" w:space="0" w:color="auto"/>
                    <w:left w:val="none" w:sz="0" w:space="0" w:color="auto"/>
                    <w:bottom w:val="none" w:sz="0" w:space="0" w:color="auto"/>
                    <w:right w:val="none" w:sz="0" w:space="0" w:color="auto"/>
                  </w:divBdr>
                </w:div>
                <w:div w:id="143396624">
                  <w:marLeft w:val="0"/>
                  <w:marRight w:val="0"/>
                  <w:marTop w:val="0"/>
                  <w:marBottom w:val="82"/>
                  <w:divBdr>
                    <w:top w:val="none" w:sz="0" w:space="0" w:color="auto"/>
                    <w:left w:val="none" w:sz="0" w:space="0" w:color="auto"/>
                    <w:bottom w:val="none" w:sz="0" w:space="0" w:color="auto"/>
                    <w:right w:val="none" w:sz="0" w:space="0" w:color="auto"/>
                  </w:divBdr>
                </w:div>
                <w:div w:id="1415859601">
                  <w:marLeft w:val="0"/>
                  <w:marRight w:val="0"/>
                  <w:marTop w:val="0"/>
                  <w:marBottom w:val="200"/>
                  <w:divBdr>
                    <w:top w:val="none" w:sz="0" w:space="0" w:color="auto"/>
                    <w:left w:val="none" w:sz="0" w:space="0" w:color="auto"/>
                    <w:bottom w:val="none" w:sz="0" w:space="0" w:color="auto"/>
                    <w:right w:val="none" w:sz="0" w:space="0" w:color="auto"/>
                  </w:divBdr>
                </w:div>
                <w:div w:id="1288046816">
                  <w:marLeft w:val="0"/>
                  <w:marRight w:val="0"/>
                  <w:marTop w:val="0"/>
                  <w:marBottom w:val="82"/>
                  <w:divBdr>
                    <w:top w:val="none" w:sz="0" w:space="0" w:color="auto"/>
                    <w:left w:val="none" w:sz="0" w:space="0" w:color="auto"/>
                    <w:bottom w:val="none" w:sz="0" w:space="0" w:color="auto"/>
                    <w:right w:val="none" w:sz="0" w:space="0" w:color="auto"/>
                  </w:divBdr>
                </w:div>
                <w:div w:id="281959895">
                  <w:marLeft w:val="0"/>
                  <w:marRight w:val="0"/>
                  <w:marTop w:val="0"/>
                  <w:marBottom w:val="82"/>
                  <w:divBdr>
                    <w:top w:val="none" w:sz="0" w:space="0" w:color="auto"/>
                    <w:left w:val="none" w:sz="0" w:space="0" w:color="auto"/>
                    <w:bottom w:val="none" w:sz="0" w:space="0" w:color="auto"/>
                    <w:right w:val="none" w:sz="0" w:space="0" w:color="auto"/>
                  </w:divBdr>
                </w:div>
                <w:div w:id="770201400">
                  <w:marLeft w:val="0"/>
                  <w:marRight w:val="0"/>
                  <w:marTop w:val="0"/>
                  <w:marBottom w:val="82"/>
                  <w:divBdr>
                    <w:top w:val="none" w:sz="0" w:space="0" w:color="auto"/>
                    <w:left w:val="none" w:sz="0" w:space="0" w:color="auto"/>
                    <w:bottom w:val="none" w:sz="0" w:space="0" w:color="auto"/>
                    <w:right w:val="none" w:sz="0" w:space="0" w:color="auto"/>
                  </w:divBdr>
                </w:div>
                <w:div w:id="314455684">
                  <w:marLeft w:val="0"/>
                  <w:marRight w:val="0"/>
                  <w:marTop w:val="0"/>
                  <w:marBottom w:val="82"/>
                  <w:divBdr>
                    <w:top w:val="none" w:sz="0" w:space="0" w:color="auto"/>
                    <w:left w:val="none" w:sz="0" w:space="0" w:color="auto"/>
                    <w:bottom w:val="none" w:sz="0" w:space="0" w:color="auto"/>
                    <w:right w:val="none" w:sz="0" w:space="0" w:color="auto"/>
                  </w:divBdr>
                </w:div>
                <w:div w:id="9114679">
                  <w:marLeft w:val="0"/>
                  <w:marRight w:val="0"/>
                  <w:marTop w:val="0"/>
                  <w:marBottom w:val="82"/>
                  <w:divBdr>
                    <w:top w:val="none" w:sz="0" w:space="0" w:color="auto"/>
                    <w:left w:val="none" w:sz="0" w:space="0" w:color="auto"/>
                    <w:bottom w:val="none" w:sz="0" w:space="0" w:color="auto"/>
                    <w:right w:val="none" w:sz="0" w:space="0" w:color="auto"/>
                  </w:divBdr>
                </w:div>
                <w:div w:id="249318835">
                  <w:marLeft w:val="0"/>
                  <w:marRight w:val="0"/>
                  <w:marTop w:val="0"/>
                  <w:marBottom w:val="82"/>
                  <w:divBdr>
                    <w:top w:val="none" w:sz="0" w:space="0" w:color="auto"/>
                    <w:left w:val="none" w:sz="0" w:space="0" w:color="auto"/>
                    <w:bottom w:val="none" w:sz="0" w:space="0" w:color="auto"/>
                    <w:right w:val="none" w:sz="0" w:space="0" w:color="auto"/>
                  </w:divBdr>
                </w:div>
                <w:div w:id="1514684462">
                  <w:marLeft w:val="0"/>
                  <w:marRight w:val="0"/>
                  <w:marTop w:val="0"/>
                  <w:marBottom w:val="82"/>
                  <w:divBdr>
                    <w:top w:val="none" w:sz="0" w:space="0" w:color="auto"/>
                    <w:left w:val="none" w:sz="0" w:space="0" w:color="auto"/>
                    <w:bottom w:val="none" w:sz="0" w:space="0" w:color="auto"/>
                    <w:right w:val="none" w:sz="0" w:space="0" w:color="auto"/>
                  </w:divBdr>
                </w:div>
                <w:div w:id="872033816">
                  <w:marLeft w:val="0"/>
                  <w:marRight w:val="0"/>
                  <w:marTop w:val="0"/>
                  <w:marBottom w:val="82"/>
                  <w:divBdr>
                    <w:top w:val="none" w:sz="0" w:space="0" w:color="auto"/>
                    <w:left w:val="none" w:sz="0" w:space="0" w:color="auto"/>
                    <w:bottom w:val="none" w:sz="0" w:space="0" w:color="auto"/>
                    <w:right w:val="none" w:sz="0" w:space="0" w:color="auto"/>
                  </w:divBdr>
                </w:div>
                <w:div w:id="1443649278">
                  <w:marLeft w:val="0"/>
                  <w:marRight w:val="0"/>
                  <w:marTop w:val="0"/>
                  <w:marBottom w:val="82"/>
                  <w:divBdr>
                    <w:top w:val="none" w:sz="0" w:space="0" w:color="auto"/>
                    <w:left w:val="none" w:sz="0" w:space="0" w:color="auto"/>
                    <w:bottom w:val="none" w:sz="0" w:space="0" w:color="auto"/>
                    <w:right w:val="none" w:sz="0" w:space="0" w:color="auto"/>
                  </w:divBdr>
                </w:div>
                <w:div w:id="1884438423">
                  <w:marLeft w:val="0"/>
                  <w:marRight w:val="0"/>
                  <w:marTop w:val="0"/>
                  <w:marBottom w:val="82"/>
                  <w:divBdr>
                    <w:top w:val="none" w:sz="0" w:space="0" w:color="auto"/>
                    <w:left w:val="none" w:sz="0" w:space="0" w:color="auto"/>
                    <w:bottom w:val="none" w:sz="0" w:space="0" w:color="auto"/>
                    <w:right w:val="none" w:sz="0" w:space="0" w:color="auto"/>
                  </w:divBdr>
                </w:div>
                <w:div w:id="796415922">
                  <w:marLeft w:val="0"/>
                  <w:marRight w:val="0"/>
                  <w:marTop w:val="0"/>
                  <w:marBottom w:val="82"/>
                  <w:divBdr>
                    <w:top w:val="none" w:sz="0" w:space="0" w:color="auto"/>
                    <w:left w:val="none" w:sz="0" w:space="0" w:color="auto"/>
                    <w:bottom w:val="none" w:sz="0" w:space="0" w:color="auto"/>
                    <w:right w:val="none" w:sz="0" w:space="0" w:color="auto"/>
                  </w:divBdr>
                </w:div>
                <w:div w:id="1540821908">
                  <w:marLeft w:val="0"/>
                  <w:marRight w:val="0"/>
                  <w:marTop w:val="0"/>
                  <w:marBottom w:val="82"/>
                  <w:divBdr>
                    <w:top w:val="none" w:sz="0" w:space="0" w:color="auto"/>
                    <w:left w:val="none" w:sz="0" w:space="0" w:color="auto"/>
                    <w:bottom w:val="none" w:sz="0" w:space="0" w:color="auto"/>
                    <w:right w:val="none" w:sz="0" w:space="0" w:color="auto"/>
                  </w:divBdr>
                </w:div>
                <w:div w:id="410389338">
                  <w:marLeft w:val="0"/>
                  <w:marRight w:val="0"/>
                  <w:marTop w:val="0"/>
                  <w:marBottom w:val="82"/>
                  <w:divBdr>
                    <w:top w:val="none" w:sz="0" w:space="0" w:color="auto"/>
                    <w:left w:val="none" w:sz="0" w:space="0" w:color="auto"/>
                    <w:bottom w:val="none" w:sz="0" w:space="0" w:color="auto"/>
                    <w:right w:val="none" w:sz="0" w:space="0" w:color="auto"/>
                  </w:divBdr>
                </w:div>
                <w:div w:id="326523745">
                  <w:marLeft w:val="0"/>
                  <w:marRight w:val="0"/>
                  <w:marTop w:val="0"/>
                  <w:marBottom w:val="82"/>
                  <w:divBdr>
                    <w:top w:val="none" w:sz="0" w:space="0" w:color="auto"/>
                    <w:left w:val="none" w:sz="0" w:space="0" w:color="auto"/>
                    <w:bottom w:val="none" w:sz="0" w:space="0" w:color="auto"/>
                    <w:right w:val="none" w:sz="0" w:space="0" w:color="auto"/>
                  </w:divBdr>
                </w:div>
                <w:div w:id="869807612">
                  <w:marLeft w:val="0"/>
                  <w:marRight w:val="0"/>
                  <w:marTop w:val="0"/>
                  <w:marBottom w:val="82"/>
                  <w:divBdr>
                    <w:top w:val="none" w:sz="0" w:space="0" w:color="auto"/>
                    <w:left w:val="none" w:sz="0" w:space="0" w:color="auto"/>
                    <w:bottom w:val="none" w:sz="0" w:space="0" w:color="auto"/>
                    <w:right w:val="none" w:sz="0" w:space="0" w:color="auto"/>
                  </w:divBdr>
                </w:div>
                <w:div w:id="283078914">
                  <w:marLeft w:val="0"/>
                  <w:marRight w:val="0"/>
                  <w:marTop w:val="0"/>
                  <w:marBottom w:val="82"/>
                  <w:divBdr>
                    <w:top w:val="none" w:sz="0" w:space="0" w:color="auto"/>
                    <w:left w:val="none" w:sz="0" w:space="0" w:color="auto"/>
                    <w:bottom w:val="none" w:sz="0" w:space="0" w:color="auto"/>
                    <w:right w:val="none" w:sz="0" w:space="0" w:color="auto"/>
                  </w:divBdr>
                </w:div>
                <w:div w:id="231890285">
                  <w:marLeft w:val="0"/>
                  <w:marRight w:val="0"/>
                  <w:marTop w:val="0"/>
                  <w:marBottom w:val="82"/>
                  <w:divBdr>
                    <w:top w:val="none" w:sz="0" w:space="0" w:color="auto"/>
                    <w:left w:val="none" w:sz="0" w:space="0" w:color="auto"/>
                    <w:bottom w:val="none" w:sz="0" w:space="0" w:color="auto"/>
                    <w:right w:val="none" w:sz="0" w:space="0" w:color="auto"/>
                  </w:divBdr>
                </w:div>
                <w:div w:id="1281491982">
                  <w:marLeft w:val="0"/>
                  <w:marRight w:val="0"/>
                  <w:marTop w:val="0"/>
                  <w:marBottom w:val="82"/>
                  <w:divBdr>
                    <w:top w:val="none" w:sz="0" w:space="0" w:color="auto"/>
                    <w:left w:val="none" w:sz="0" w:space="0" w:color="auto"/>
                    <w:bottom w:val="none" w:sz="0" w:space="0" w:color="auto"/>
                    <w:right w:val="none" w:sz="0" w:space="0" w:color="auto"/>
                  </w:divBdr>
                </w:div>
                <w:div w:id="378289568">
                  <w:marLeft w:val="0"/>
                  <w:marRight w:val="0"/>
                  <w:marTop w:val="0"/>
                  <w:marBottom w:val="82"/>
                  <w:divBdr>
                    <w:top w:val="none" w:sz="0" w:space="0" w:color="auto"/>
                    <w:left w:val="none" w:sz="0" w:space="0" w:color="auto"/>
                    <w:bottom w:val="none" w:sz="0" w:space="0" w:color="auto"/>
                    <w:right w:val="none" w:sz="0" w:space="0" w:color="auto"/>
                  </w:divBdr>
                </w:div>
                <w:div w:id="893781001">
                  <w:marLeft w:val="0"/>
                  <w:marRight w:val="0"/>
                  <w:marTop w:val="0"/>
                  <w:marBottom w:val="70"/>
                  <w:divBdr>
                    <w:top w:val="none" w:sz="0" w:space="0" w:color="auto"/>
                    <w:left w:val="none" w:sz="0" w:space="0" w:color="auto"/>
                    <w:bottom w:val="none" w:sz="0" w:space="0" w:color="auto"/>
                    <w:right w:val="none" w:sz="0" w:space="0" w:color="auto"/>
                  </w:divBdr>
                </w:div>
                <w:div w:id="1664316406">
                  <w:marLeft w:val="0"/>
                  <w:marRight w:val="0"/>
                  <w:marTop w:val="0"/>
                  <w:marBottom w:val="70"/>
                  <w:divBdr>
                    <w:top w:val="none" w:sz="0" w:space="0" w:color="auto"/>
                    <w:left w:val="none" w:sz="0" w:space="0" w:color="auto"/>
                    <w:bottom w:val="none" w:sz="0" w:space="0" w:color="auto"/>
                    <w:right w:val="none" w:sz="0" w:space="0" w:color="auto"/>
                  </w:divBdr>
                </w:div>
                <w:div w:id="1067875713">
                  <w:marLeft w:val="0"/>
                  <w:marRight w:val="0"/>
                  <w:marTop w:val="0"/>
                  <w:marBottom w:val="70"/>
                  <w:divBdr>
                    <w:top w:val="none" w:sz="0" w:space="0" w:color="auto"/>
                    <w:left w:val="none" w:sz="0" w:space="0" w:color="auto"/>
                    <w:bottom w:val="none" w:sz="0" w:space="0" w:color="auto"/>
                    <w:right w:val="none" w:sz="0" w:space="0" w:color="auto"/>
                  </w:divBdr>
                </w:div>
                <w:div w:id="1815565471">
                  <w:marLeft w:val="0"/>
                  <w:marRight w:val="0"/>
                  <w:marTop w:val="0"/>
                  <w:marBottom w:val="200"/>
                  <w:divBdr>
                    <w:top w:val="none" w:sz="0" w:space="0" w:color="auto"/>
                    <w:left w:val="none" w:sz="0" w:space="0" w:color="auto"/>
                    <w:bottom w:val="none" w:sz="0" w:space="0" w:color="auto"/>
                    <w:right w:val="none" w:sz="0" w:space="0" w:color="auto"/>
                  </w:divBdr>
                </w:div>
                <w:div w:id="2077195892">
                  <w:marLeft w:val="0"/>
                  <w:marRight w:val="0"/>
                  <w:marTop w:val="0"/>
                  <w:marBottom w:val="70"/>
                  <w:divBdr>
                    <w:top w:val="none" w:sz="0" w:space="0" w:color="auto"/>
                    <w:left w:val="none" w:sz="0" w:space="0" w:color="auto"/>
                    <w:bottom w:val="none" w:sz="0" w:space="0" w:color="auto"/>
                    <w:right w:val="none" w:sz="0" w:space="0" w:color="auto"/>
                  </w:divBdr>
                </w:div>
                <w:div w:id="1463115112">
                  <w:marLeft w:val="0"/>
                  <w:marRight w:val="0"/>
                  <w:marTop w:val="0"/>
                  <w:marBottom w:val="70"/>
                  <w:divBdr>
                    <w:top w:val="none" w:sz="0" w:space="0" w:color="auto"/>
                    <w:left w:val="none" w:sz="0" w:space="0" w:color="auto"/>
                    <w:bottom w:val="none" w:sz="0" w:space="0" w:color="auto"/>
                    <w:right w:val="none" w:sz="0" w:space="0" w:color="auto"/>
                  </w:divBdr>
                </w:div>
                <w:div w:id="333531484">
                  <w:marLeft w:val="0"/>
                  <w:marRight w:val="0"/>
                  <w:marTop w:val="0"/>
                  <w:marBottom w:val="70"/>
                  <w:divBdr>
                    <w:top w:val="none" w:sz="0" w:space="0" w:color="auto"/>
                    <w:left w:val="none" w:sz="0" w:space="0" w:color="auto"/>
                    <w:bottom w:val="none" w:sz="0" w:space="0" w:color="auto"/>
                    <w:right w:val="none" w:sz="0" w:space="0" w:color="auto"/>
                  </w:divBdr>
                </w:div>
                <w:div w:id="1512451642">
                  <w:marLeft w:val="0"/>
                  <w:marRight w:val="0"/>
                  <w:marTop w:val="0"/>
                  <w:marBottom w:val="70"/>
                  <w:divBdr>
                    <w:top w:val="none" w:sz="0" w:space="0" w:color="auto"/>
                    <w:left w:val="none" w:sz="0" w:space="0" w:color="auto"/>
                    <w:bottom w:val="none" w:sz="0" w:space="0" w:color="auto"/>
                    <w:right w:val="none" w:sz="0" w:space="0" w:color="auto"/>
                  </w:divBdr>
                </w:div>
                <w:div w:id="2141990369">
                  <w:marLeft w:val="0"/>
                  <w:marRight w:val="0"/>
                  <w:marTop w:val="0"/>
                  <w:marBottom w:val="70"/>
                  <w:divBdr>
                    <w:top w:val="none" w:sz="0" w:space="0" w:color="auto"/>
                    <w:left w:val="none" w:sz="0" w:space="0" w:color="auto"/>
                    <w:bottom w:val="none" w:sz="0" w:space="0" w:color="auto"/>
                    <w:right w:val="none" w:sz="0" w:space="0" w:color="auto"/>
                  </w:divBdr>
                </w:div>
                <w:div w:id="784079844">
                  <w:marLeft w:val="0"/>
                  <w:marRight w:val="0"/>
                  <w:marTop w:val="0"/>
                  <w:marBottom w:val="70"/>
                  <w:divBdr>
                    <w:top w:val="none" w:sz="0" w:space="0" w:color="auto"/>
                    <w:left w:val="none" w:sz="0" w:space="0" w:color="auto"/>
                    <w:bottom w:val="none" w:sz="0" w:space="0" w:color="auto"/>
                    <w:right w:val="none" w:sz="0" w:space="0" w:color="auto"/>
                  </w:divBdr>
                </w:div>
                <w:div w:id="85343604">
                  <w:marLeft w:val="0"/>
                  <w:marRight w:val="0"/>
                  <w:marTop w:val="0"/>
                  <w:marBottom w:val="70"/>
                  <w:divBdr>
                    <w:top w:val="none" w:sz="0" w:space="0" w:color="auto"/>
                    <w:left w:val="none" w:sz="0" w:space="0" w:color="auto"/>
                    <w:bottom w:val="none" w:sz="0" w:space="0" w:color="auto"/>
                    <w:right w:val="none" w:sz="0" w:space="0" w:color="auto"/>
                  </w:divBdr>
                </w:div>
                <w:div w:id="684793803">
                  <w:marLeft w:val="0"/>
                  <w:marRight w:val="0"/>
                  <w:marTop w:val="0"/>
                  <w:marBottom w:val="70"/>
                  <w:divBdr>
                    <w:top w:val="none" w:sz="0" w:space="0" w:color="auto"/>
                    <w:left w:val="none" w:sz="0" w:space="0" w:color="auto"/>
                    <w:bottom w:val="none" w:sz="0" w:space="0" w:color="auto"/>
                    <w:right w:val="none" w:sz="0" w:space="0" w:color="auto"/>
                  </w:divBdr>
                </w:div>
                <w:div w:id="1281642401">
                  <w:marLeft w:val="0"/>
                  <w:marRight w:val="0"/>
                  <w:marTop w:val="0"/>
                  <w:marBottom w:val="70"/>
                  <w:divBdr>
                    <w:top w:val="none" w:sz="0" w:space="0" w:color="auto"/>
                    <w:left w:val="none" w:sz="0" w:space="0" w:color="auto"/>
                    <w:bottom w:val="none" w:sz="0" w:space="0" w:color="auto"/>
                    <w:right w:val="none" w:sz="0" w:space="0" w:color="auto"/>
                  </w:divBdr>
                </w:div>
                <w:div w:id="2035302679">
                  <w:marLeft w:val="0"/>
                  <w:marRight w:val="0"/>
                  <w:marTop w:val="0"/>
                  <w:marBottom w:val="70"/>
                  <w:divBdr>
                    <w:top w:val="none" w:sz="0" w:space="0" w:color="auto"/>
                    <w:left w:val="none" w:sz="0" w:space="0" w:color="auto"/>
                    <w:bottom w:val="none" w:sz="0" w:space="0" w:color="auto"/>
                    <w:right w:val="none" w:sz="0" w:space="0" w:color="auto"/>
                  </w:divBdr>
                </w:div>
                <w:div w:id="537276183">
                  <w:marLeft w:val="0"/>
                  <w:marRight w:val="0"/>
                  <w:marTop w:val="0"/>
                  <w:marBottom w:val="70"/>
                  <w:divBdr>
                    <w:top w:val="none" w:sz="0" w:space="0" w:color="auto"/>
                    <w:left w:val="none" w:sz="0" w:space="0" w:color="auto"/>
                    <w:bottom w:val="none" w:sz="0" w:space="0" w:color="auto"/>
                    <w:right w:val="none" w:sz="0" w:space="0" w:color="auto"/>
                  </w:divBdr>
                </w:div>
                <w:div w:id="662660281">
                  <w:marLeft w:val="0"/>
                  <w:marRight w:val="0"/>
                  <w:marTop w:val="0"/>
                  <w:marBottom w:val="70"/>
                  <w:divBdr>
                    <w:top w:val="none" w:sz="0" w:space="0" w:color="auto"/>
                    <w:left w:val="none" w:sz="0" w:space="0" w:color="auto"/>
                    <w:bottom w:val="none" w:sz="0" w:space="0" w:color="auto"/>
                    <w:right w:val="none" w:sz="0" w:space="0" w:color="auto"/>
                  </w:divBdr>
                </w:div>
                <w:div w:id="783157251">
                  <w:marLeft w:val="0"/>
                  <w:marRight w:val="0"/>
                  <w:marTop w:val="0"/>
                  <w:marBottom w:val="70"/>
                  <w:divBdr>
                    <w:top w:val="none" w:sz="0" w:space="0" w:color="auto"/>
                    <w:left w:val="none" w:sz="0" w:space="0" w:color="auto"/>
                    <w:bottom w:val="none" w:sz="0" w:space="0" w:color="auto"/>
                    <w:right w:val="none" w:sz="0" w:space="0" w:color="auto"/>
                  </w:divBdr>
                </w:div>
                <w:div w:id="1639795504">
                  <w:marLeft w:val="0"/>
                  <w:marRight w:val="0"/>
                  <w:marTop w:val="0"/>
                  <w:marBottom w:val="70"/>
                  <w:divBdr>
                    <w:top w:val="none" w:sz="0" w:space="0" w:color="auto"/>
                    <w:left w:val="none" w:sz="0" w:space="0" w:color="auto"/>
                    <w:bottom w:val="none" w:sz="0" w:space="0" w:color="auto"/>
                    <w:right w:val="none" w:sz="0" w:space="0" w:color="auto"/>
                  </w:divBdr>
                </w:div>
                <w:div w:id="48114429">
                  <w:marLeft w:val="0"/>
                  <w:marRight w:val="0"/>
                  <w:marTop w:val="0"/>
                  <w:marBottom w:val="70"/>
                  <w:divBdr>
                    <w:top w:val="none" w:sz="0" w:space="0" w:color="auto"/>
                    <w:left w:val="none" w:sz="0" w:space="0" w:color="auto"/>
                    <w:bottom w:val="none" w:sz="0" w:space="0" w:color="auto"/>
                    <w:right w:val="none" w:sz="0" w:space="0" w:color="auto"/>
                  </w:divBdr>
                </w:div>
                <w:div w:id="937373086">
                  <w:marLeft w:val="0"/>
                  <w:marRight w:val="0"/>
                  <w:marTop w:val="0"/>
                  <w:marBottom w:val="70"/>
                  <w:divBdr>
                    <w:top w:val="none" w:sz="0" w:space="0" w:color="auto"/>
                    <w:left w:val="none" w:sz="0" w:space="0" w:color="auto"/>
                    <w:bottom w:val="none" w:sz="0" w:space="0" w:color="auto"/>
                    <w:right w:val="none" w:sz="0" w:space="0" w:color="auto"/>
                  </w:divBdr>
                </w:div>
                <w:div w:id="218901760">
                  <w:marLeft w:val="0"/>
                  <w:marRight w:val="0"/>
                  <w:marTop w:val="0"/>
                  <w:marBottom w:val="70"/>
                  <w:divBdr>
                    <w:top w:val="none" w:sz="0" w:space="0" w:color="auto"/>
                    <w:left w:val="none" w:sz="0" w:space="0" w:color="auto"/>
                    <w:bottom w:val="none" w:sz="0" w:space="0" w:color="auto"/>
                    <w:right w:val="none" w:sz="0" w:space="0" w:color="auto"/>
                  </w:divBdr>
                </w:div>
                <w:div w:id="1975872152">
                  <w:marLeft w:val="0"/>
                  <w:marRight w:val="0"/>
                  <w:marTop w:val="0"/>
                  <w:marBottom w:val="70"/>
                  <w:divBdr>
                    <w:top w:val="none" w:sz="0" w:space="0" w:color="auto"/>
                    <w:left w:val="none" w:sz="0" w:space="0" w:color="auto"/>
                    <w:bottom w:val="none" w:sz="0" w:space="0" w:color="auto"/>
                    <w:right w:val="none" w:sz="0" w:space="0" w:color="auto"/>
                  </w:divBdr>
                </w:div>
                <w:div w:id="28143186">
                  <w:marLeft w:val="0"/>
                  <w:marRight w:val="0"/>
                  <w:marTop w:val="0"/>
                  <w:marBottom w:val="70"/>
                  <w:divBdr>
                    <w:top w:val="none" w:sz="0" w:space="0" w:color="auto"/>
                    <w:left w:val="none" w:sz="0" w:space="0" w:color="auto"/>
                    <w:bottom w:val="none" w:sz="0" w:space="0" w:color="auto"/>
                    <w:right w:val="none" w:sz="0" w:space="0" w:color="auto"/>
                  </w:divBdr>
                </w:div>
                <w:div w:id="1778981605">
                  <w:marLeft w:val="0"/>
                  <w:marRight w:val="0"/>
                  <w:marTop w:val="0"/>
                  <w:marBottom w:val="70"/>
                  <w:divBdr>
                    <w:top w:val="none" w:sz="0" w:space="0" w:color="auto"/>
                    <w:left w:val="none" w:sz="0" w:space="0" w:color="auto"/>
                    <w:bottom w:val="none" w:sz="0" w:space="0" w:color="auto"/>
                    <w:right w:val="none" w:sz="0" w:space="0" w:color="auto"/>
                  </w:divBdr>
                </w:div>
                <w:div w:id="1700428433">
                  <w:marLeft w:val="0"/>
                  <w:marRight w:val="0"/>
                  <w:marTop w:val="0"/>
                  <w:marBottom w:val="70"/>
                  <w:divBdr>
                    <w:top w:val="none" w:sz="0" w:space="0" w:color="auto"/>
                    <w:left w:val="none" w:sz="0" w:space="0" w:color="auto"/>
                    <w:bottom w:val="none" w:sz="0" w:space="0" w:color="auto"/>
                    <w:right w:val="none" w:sz="0" w:space="0" w:color="auto"/>
                  </w:divBdr>
                </w:div>
                <w:div w:id="785469694">
                  <w:marLeft w:val="0"/>
                  <w:marRight w:val="0"/>
                  <w:marTop w:val="0"/>
                  <w:marBottom w:val="70"/>
                  <w:divBdr>
                    <w:top w:val="none" w:sz="0" w:space="0" w:color="auto"/>
                    <w:left w:val="none" w:sz="0" w:space="0" w:color="auto"/>
                    <w:bottom w:val="none" w:sz="0" w:space="0" w:color="auto"/>
                    <w:right w:val="none" w:sz="0" w:space="0" w:color="auto"/>
                  </w:divBdr>
                </w:div>
                <w:div w:id="825437424">
                  <w:marLeft w:val="0"/>
                  <w:marRight w:val="0"/>
                  <w:marTop w:val="0"/>
                  <w:marBottom w:val="70"/>
                  <w:divBdr>
                    <w:top w:val="none" w:sz="0" w:space="0" w:color="auto"/>
                    <w:left w:val="none" w:sz="0" w:space="0" w:color="auto"/>
                    <w:bottom w:val="none" w:sz="0" w:space="0" w:color="auto"/>
                    <w:right w:val="none" w:sz="0" w:space="0" w:color="auto"/>
                  </w:divBdr>
                </w:div>
                <w:div w:id="2104304990">
                  <w:marLeft w:val="0"/>
                  <w:marRight w:val="0"/>
                  <w:marTop w:val="0"/>
                  <w:marBottom w:val="70"/>
                  <w:divBdr>
                    <w:top w:val="none" w:sz="0" w:space="0" w:color="auto"/>
                    <w:left w:val="none" w:sz="0" w:space="0" w:color="auto"/>
                    <w:bottom w:val="none" w:sz="0" w:space="0" w:color="auto"/>
                    <w:right w:val="none" w:sz="0" w:space="0" w:color="auto"/>
                  </w:divBdr>
                </w:div>
                <w:div w:id="744303555">
                  <w:marLeft w:val="0"/>
                  <w:marRight w:val="0"/>
                  <w:marTop w:val="0"/>
                  <w:marBottom w:val="70"/>
                  <w:divBdr>
                    <w:top w:val="none" w:sz="0" w:space="0" w:color="auto"/>
                    <w:left w:val="none" w:sz="0" w:space="0" w:color="auto"/>
                    <w:bottom w:val="none" w:sz="0" w:space="0" w:color="auto"/>
                    <w:right w:val="none" w:sz="0" w:space="0" w:color="auto"/>
                  </w:divBdr>
                </w:div>
                <w:div w:id="1870682179">
                  <w:marLeft w:val="0"/>
                  <w:marRight w:val="0"/>
                  <w:marTop w:val="0"/>
                  <w:marBottom w:val="70"/>
                  <w:divBdr>
                    <w:top w:val="none" w:sz="0" w:space="0" w:color="auto"/>
                    <w:left w:val="none" w:sz="0" w:space="0" w:color="auto"/>
                    <w:bottom w:val="none" w:sz="0" w:space="0" w:color="auto"/>
                    <w:right w:val="none" w:sz="0" w:space="0" w:color="auto"/>
                  </w:divBdr>
                </w:div>
                <w:div w:id="390349201">
                  <w:marLeft w:val="0"/>
                  <w:marRight w:val="0"/>
                  <w:marTop w:val="0"/>
                  <w:marBottom w:val="70"/>
                  <w:divBdr>
                    <w:top w:val="none" w:sz="0" w:space="0" w:color="auto"/>
                    <w:left w:val="none" w:sz="0" w:space="0" w:color="auto"/>
                    <w:bottom w:val="none" w:sz="0" w:space="0" w:color="auto"/>
                    <w:right w:val="none" w:sz="0" w:space="0" w:color="auto"/>
                  </w:divBdr>
                </w:div>
                <w:div w:id="2096701336">
                  <w:marLeft w:val="0"/>
                  <w:marRight w:val="0"/>
                  <w:marTop w:val="0"/>
                  <w:marBottom w:val="70"/>
                  <w:divBdr>
                    <w:top w:val="none" w:sz="0" w:space="0" w:color="auto"/>
                    <w:left w:val="none" w:sz="0" w:space="0" w:color="auto"/>
                    <w:bottom w:val="none" w:sz="0" w:space="0" w:color="auto"/>
                    <w:right w:val="none" w:sz="0" w:space="0" w:color="auto"/>
                  </w:divBdr>
                </w:div>
                <w:div w:id="479616244">
                  <w:marLeft w:val="0"/>
                  <w:marRight w:val="0"/>
                  <w:marTop w:val="0"/>
                  <w:marBottom w:val="70"/>
                  <w:divBdr>
                    <w:top w:val="none" w:sz="0" w:space="0" w:color="auto"/>
                    <w:left w:val="none" w:sz="0" w:space="0" w:color="auto"/>
                    <w:bottom w:val="none" w:sz="0" w:space="0" w:color="auto"/>
                    <w:right w:val="none" w:sz="0" w:space="0" w:color="auto"/>
                  </w:divBdr>
                </w:div>
                <w:div w:id="569460617">
                  <w:marLeft w:val="0"/>
                  <w:marRight w:val="0"/>
                  <w:marTop w:val="0"/>
                  <w:marBottom w:val="70"/>
                  <w:divBdr>
                    <w:top w:val="none" w:sz="0" w:space="0" w:color="auto"/>
                    <w:left w:val="none" w:sz="0" w:space="0" w:color="auto"/>
                    <w:bottom w:val="none" w:sz="0" w:space="0" w:color="auto"/>
                    <w:right w:val="none" w:sz="0" w:space="0" w:color="auto"/>
                  </w:divBdr>
                </w:div>
                <w:div w:id="45230140">
                  <w:marLeft w:val="0"/>
                  <w:marRight w:val="0"/>
                  <w:marTop w:val="0"/>
                  <w:marBottom w:val="70"/>
                  <w:divBdr>
                    <w:top w:val="none" w:sz="0" w:space="0" w:color="auto"/>
                    <w:left w:val="none" w:sz="0" w:space="0" w:color="auto"/>
                    <w:bottom w:val="none" w:sz="0" w:space="0" w:color="auto"/>
                    <w:right w:val="none" w:sz="0" w:space="0" w:color="auto"/>
                  </w:divBdr>
                </w:div>
                <w:div w:id="332875014">
                  <w:marLeft w:val="0"/>
                  <w:marRight w:val="0"/>
                  <w:marTop w:val="0"/>
                  <w:marBottom w:val="70"/>
                  <w:divBdr>
                    <w:top w:val="none" w:sz="0" w:space="0" w:color="auto"/>
                    <w:left w:val="none" w:sz="0" w:space="0" w:color="auto"/>
                    <w:bottom w:val="none" w:sz="0" w:space="0" w:color="auto"/>
                    <w:right w:val="none" w:sz="0" w:space="0" w:color="auto"/>
                  </w:divBdr>
                </w:div>
                <w:div w:id="324013147">
                  <w:marLeft w:val="0"/>
                  <w:marRight w:val="0"/>
                  <w:marTop w:val="0"/>
                  <w:marBottom w:val="70"/>
                  <w:divBdr>
                    <w:top w:val="none" w:sz="0" w:space="0" w:color="auto"/>
                    <w:left w:val="none" w:sz="0" w:space="0" w:color="auto"/>
                    <w:bottom w:val="none" w:sz="0" w:space="0" w:color="auto"/>
                    <w:right w:val="none" w:sz="0" w:space="0" w:color="auto"/>
                  </w:divBdr>
                </w:div>
                <w:div w:id="464662609">
                  <w:marLeft w:val="0"/>
                  <w:marRight w:val="0"/>
                  <w:marTop w:val="0"/>
                  <w:marBottom w:val="70"/>
                  <w:divBdr>
                    <w:top w:val="none" w:sz="0" w:space="0" w:color="auto"/>
                    <w:left w:val="none" w:sz="0" w:space="0" w:color="auto"/>
                    <w:bottom w:val="none" w:sz="0" w:space="0" w:color="auto"/>
                    <w:right w:val="none" w:sz="0" w:space="0" w:color="auto"/>
                  </w:divBdr>
                </w:div>
                <w:div w:id="510686791">
                  <w:marLeft w:val="0"/>
                  <w:marRight w:val="0"/>
                  <w:marTop w:val="0"/>
                  <w:marBottom w:val="70"/>
                  <w:divBdr>
                    <w:top w:val="none" w:sz="0" w:space="0" w:color="auto"/>
                    <w:left w:val="none" w:sz="0" w:space="0" w:color="auto"/>
                    <w:bottom w:val="none" w:sz="0" w:space="0" w:color="auto"/>
                    <w:right w:val="none" w:sz="0" w:space="0" w:color="auto"/>
                  </w:divBdr>
                </w:div>
                <w:div w:id="593788693">
                  <w:marLeft w:val="0"/>
                  <w:marRight w:val="0"/>
                  <w:marTop w:val="0"/>
                  <w:marBottom w:val="70"/>
                  <w:divBdr>
                    <w:top w:val="none" w:sz="0" w:space="0" w:color="auto"/>
                    <w:left w:val="none" w:sz="0" w:space="0" w:color="auto"/>
                    <w:bottom w:val="none" w:sz="0" w:space="0" w:color="auto"/>
                    <w:right w:val="none" w:sz="0" w:space="0" w:color="auto"/>
                  </w:divBdr>
                </w:div>
                <w:div w:id="1690642576">
                  <w:marLeft w:val="0"/>
                  <w:marRight w:val="0"/>
                  <w:marTop w:val="0"/>
                  <w:marBottom w:val="70"/>
                  <w:divBdr>
                    <w:top w:val="none" w:sz="0" w:space="0" w:color="auto"/>
                    <w:left w:val="none" w:sz="0" w:space="0" w:color="auto"/>
                    <w:bottom w:val="none" w:sz="0" w:space="0" w:color="auto"/>
                    <w:right w:val="none" w:sz="0" w:space="0" w:color="auto"/>
                  </w:divBdr>
                </w:div>
                <w:div w:id="831483025">
                  <w:marLeft w:val="1440"/>
                  <w:marRight w:val="0"/>
                  <w:marTop w:val="0"/>
                  <w:marBottom w:val="101"/>
                  <w:divBdr>
                    <w:top w:val="none" w:sz="0" w:space="0" w:color="auto"/>
                    <w:left w:val="none" w:sz="0" w:space="0" w:color="auto"/>
                    <w:bottom w:val="none" w:sz="0" w:space="0" w:color="auto"/>
                    <w:right w:val="none" w:sz="0" w:space="0" w:color="auto"/>
                  </w:divBdr>
                </w:div>
                <w:div w:id="330639727">
                  <w:marLeft w:val="1440"/>
                  <w:marRight w:val="0"/>
                  <w:marTop w:val="0"/>
                  <w:marBottom w:val="64"/>
                  <w:divBdr>
                    <w:top w:val="none" w:sz="0" w:space="0" w:color="auto"/>
                    <w:left w:val="none" w:sz="0" w:space="0" w:color="auto"/>
                    <w:bottom w:val="none" w:sz="0" w:space="0" w:color="auto"/>
                    <w:right w:val="none" w:sz="0" w:space="0" w:color="auto"/>
                  </w:divBdr>
                </w:div>
                <w:div w:id="296767013">
                  <w:marLeft w:val="1440"/>
                  <w:marRight w:val="0"/>
                  <w:marTop w:val="0"/>
                  <w:marBottom w:val="64"/>
                  <w:divBdr>
                    <w:top w:val="none" w:sz="0" w:space="0" w:color="auto"/>
                    <w:left w:val="none" w:sz="0" w:space="0" w:color="auto"/>
                    <w:bottom w:val="none" w:sz="0" w:space="0" w:color="auto"/>
                    <w:right w:val="none" w:sz="0" w:space="0" w:color="auto"/>
                  </w:divBdr>
                </w:div>
                <w:div w:id="245651643">
                  <w:marLeft w:val="1440"/>
                  <w:marRight w:val="0"/>
                  <w:marTop w:val="0"/>
                  <w:marBottom w:val="64"/>
                  <w:divBdr>
                    <w:top w:val="none" w:sz="0" w:space="0" w:color="auto"/>
                    <w:left w:val="none" w:sz="0" w:space="0" w:color="auto"/>
                    <w:bottom w:val="none" w:sz="0" w:space="0" w:color="auto"/>
                    <w:right w:val="none" w:sz="0" w:space="0" w:color="auto"/>
                  </w:divBdr>
                </w:div>
                <w:div w:id="811212382">
                  <w:marLeft w:val="1440"/>
                  <w:marRight w:val="0"/>
                  <w:marTop w:val="0"/>
                  <w:marBottom w:val="64"/>
                  <w:divBdr>
                    <w:top w:val="none" w:sz="0" w:space="0" w:color="auto"/>
                    <w:left w:val="none" w:sz="0" w:space="0" w:color="auto"/>
                    <w:bottom w:val="none" w:sz="0" w:space="0" w:color="auto"/>
                    <w:right w:val="none" w:sz="0" w:space="0" w:color="auto"/>
                  </w:divBdr>
                </w:div>
                <w:div w:id="2096585935">
                  <w:marLeft w:val="1440"/>
                  <w:marRight w:val="0"/>
                  <w:marTop w:val="0"/>
                  <w:marBottom w:val="64"/>
                  <w:divBdr>
                    <w:top w:val="none" w:sz="0" w:space="0" w:color="auto"/>
                    <w:left w:val="none" w:sz="0" w:space="0" w:color="auto"/>
                    <w:bottom w:val="none" w:sz="0" w:space="0" w:color="auto"/>
                    <w:right w:val="none" w:sz="0" w:space="0" w:color="auto"/>
                  </w:divBdr>
                </w:div>
                <w:div w:id="541208071">
                  <w:marLeft w:val="1440"/>
                  <w:marRight w:val="0"/>
                  <w:marTop w:val="0"/>
                  <w:marBottom w:val="64"/>
                  <w:divBdr>
                    <w:top w:val="none" w:sz="0" w:space="0" w:color="auto"/>
                    <w:left w:val="none" w:sz="0" w:space="0" w:color="auto"/>
                    <w:bottom w:val="none" w:sz="0" w:space="0" w:color="auto"/>
                    <w:right w:val="none" w:sz="0" w:space="0" w:color="auto"/>
                  </w:divBdr>
                </w:div>
                <w:div w:id="1177622833">
                  <w:marLeft w:val="2160"/>
                  <w:marRight w:val="0"/>
                  <w:marTop w:val="0"/>
                  <w:marBottom w:val="64"/>
                  <w:divBdr>
                    <w:top w:val="none" w:sz="0" w:space="0" w:color="auto"/>
                    <w:left w:val="none" w:sz="0" w:space="0" w:color="auto"/>
                    <w:bottom w:val="none" w:sz="0" w:space="0" w:color="auto"/>
                    <w:right w:val="none" w:sz="0" w:space="0" w:color="auto"/>
                  </w:divBdr>
                </w:div>
                <w:div w:id="1806849452">
                  <w:marLeft w:val="2160"/>
                  <w:marRight w:val="0"/>
                  <w:marTop w:val="0"/>
                  <w:marBottom w:val="64"/>
                  <w:divBdr>
                    <w:top w:val="none" w:sz="0" w:space="0" w:color="auto"/>
                    <w:left w:val="none" w:sz="0" w:space="0" w:color="auto"/>
                    <w:bottom w:val="none" w:sz="0" w:space="0" w:color="auto"/>
                    <w:right w:val="none" w:sz="0" w:space="0" w:color="auto"/>
                  </w:divBdr>
                </w:div>
                <w:div w:id="1099830881">
                  <w:marLeft w:val="2160"/>
                  <w:marRight w:val="0"/>
                  <w:marTop w:val="0"/>
                  <w:marBottom w:val="64"/>
                  <w:divBdr>
                    <w:top w:val="none" w:sz="0" w:space="0" w:color="auto"/>
                    <w:left w:val="none" w:sz="0" w:space="0" w:color="auto"/>
                    <w:bottom w:val="none" w:sz="0" w:space="0" w:color="auto"/>
                    <w:right w:val="none" w:sz="0" w:space="0" w:color="auto"/>
                  </w:divBdr>
                </w:div>
                <w:div w:id="455876924">
                  <w:marLeft w:val="2592"/>
                  <w:marRight w:val="0"/>
                  <w:marTop w:val="0"/>
                  <w:marBottom w:val="64"/>
                  <w:divBdr>
                    <w:top w:val="none" w:sz="0" w:space="0" w:color="auto"/>
                    <w:left w:val="none" w:sz="0" w:space="0" w:color="auto"/>
                    <w:bottom w:val="none" w:sz="0" w:space="0" w:color="auto"/>
                    <w:right w:val="none" w:sz="0" w:space="0" w:color="auto"/>
                  </w:divBdr>
                </w:div>
                <w:div w:id="188034928">
                  <w:marLeft w:val="2592"/>
                  <w:marRight w:val="0"/>
                  <w:marTop w:val="0"/>
                  <w:marBottom w:val="64"/>
                  <w:divBdr>
                    <w:top w:val="none" w:sz="0" w:space="0" w:color="auto"/>
                    <w:left w:val="none" w:sz="0" w:space="0" w:color="auto"/>
                    <w:bottom w:val="none" w:sz="0" w:space="0" w:color="auto"/>
                    <w:right w:val="none" w:sz="0" w:space="0" w:color="auto"/>
                  </w:divBdr>
                </w:div>
                <w:div w:id="2055420230">
                  <w:marLeft w:val="2592"/>
                  <w:marRight w:val="0"/>
                  <w:marTop w:val="0"/>
                  <w:marBottom w:val="64"/>
                  <w:divBdr>
                    <w:top w:val="none" w:sz="0" w:space="0" w:color="auto"/>
                    <w:left w:val="none" w:sz="0" w:space="0" w:color="auto"/>
                    <w:bottom w:val="none" w:sz="0" w:space="0" w:color="auto"/>
                    <w:right w:val="none" w:sz="0" w:space="0" w:color="auto"/>
                  </w:divBdr>
                </w:div>
                <w:div w:id="1063942111">
                  <w:marLeft w:val="2592"/>
                  <w:marRight w:val="0"/>
                  <w:marTop w:val="0"/>
                  <w:marBottom w:val="64"/>
                  <w:divBdr>
                    <w:top w:val="none" w:sz="0" w:space="0" w:color="auto"/>
                    <w:left w:val="none" w:sz="0" w:space="0" w:color="auto"/>
                    <w:bottom w:val="none" w:sz="0" w:space="0" w:color="auto"/>
                    <w:right w:val="none" w:sz="0" w:space="0" w:color="auto"/>
                  </w:divBdr>
                </w:div>
                <w:div w:id="1653439562">
                  <w:marLeft w:val="2592"/>
                  <w:marRight w:val="0"/>
                  <w:marTop w:val="0"/>
                  <w:marBottom w:val="64"/>
                  <w:divBdr>
                    <w:top w:val="none" w:sz="0" w:space="0" w:color="auto"/>
                    <w:left w:val="none" w:sz="0" w:space="0" w:color="auto"/>
                    <w:bottom w:val="none" w:sz="0" w:space="0" w:color="auto"/>
                    <w:right w:val="none" w:sz="0" w:space="0" w:color="auto"/>
                  </w:divBdr>
                </w:div>
                <w:div w:id="1486241418">
                  <w:marLeft w:val="2592"/>
                  <w:marRight w:val="0"/>
                  <w:marTop w:val="0"/>
                  <w:marBottom w:val="64"/>
                  <w:divBdr>
                    <w:top w:val="none" w:sz="0" w:space="0" w:color="auto"/>
                    <w:left w:val="none" w:sz="0" w:space="0" w:color="auto"/>
                    <w:bottom w:val="none" w:sz="0" w:space="0" w:color="auto"/>
                    <w:right w:val="none" w:sz="0" w:space="0" w:color="auto"/>
                  </w:divBdr>
                </w:div>
                <w:div w:id="1210991936">
                  <w:marLeft w:val="2592"/>
                  <w:marRight w:val="0"/>
                  <w:marTop w:val="0"/>
                  <w:marBottom w:val="64"/>
                  <w:divBdr>
                    <w:top w:val="none" w:sz="0" w:space="0" w:color="auto"/>
                    <w:left w:val="none" w:sz="0" w:space="0" w:color="auto"/>
                    <w:bottom w:val="none" w:sz="0" w:space="0" w:color="auto"/>
                    <w:right w:val="none" w:sz="0" w:space="0" w:color="auto"/>
                  </w:divBdr>
                </w:div>
                <w:div w:id="885095814">
                  <w:marLeft w:val="2592"/>
                  <w:marRight w:val="0"/>
                  <w:marTop w:val="0"/>
                  <w:marBottom w:val="101"/>
                  <w:divBdr>
                    <w:top w:val="none" w:sz="0" w:space="0" w:color="auto"/>
                    <w:left w:val="none" w:sz="0" w:space="0" w:color="auto"/>
                    <w:bottom w:val="none" w:sz="0" w:space="0" w:color="auto"/>
                    <w:right w:val="none" w:sz="0" w:space="0" w:color="auto"/>
                  </w:divBdr>
                </w:div>
                <w:div w:id="909384524">
                  <w:marLeft w:val="2592"/>
                  <w:marRight w:val="0"/>
                  <w:marTop w:val="0"/>
                  <w:marBottom w:val="101"/>
                  <w:divBdr>
                    <w:top w:val="none" w:sz="0" w:space="0" w:color="auto"/>
                    <w:left w:val="none" w:sz="0" w:space="0" w:color="auto"/>
                    <w:bottom w:val="none" w:sz="0" w:space="0" w:color="auto"/>
                    <w:right w:val="none" w:sz="0" w:space="0" w:color="auto"/>
                  </w:divBdr>
                </w:div>
                <w:div w:id="1337029341">
                  <w:marLeft w:val="1440"/>
                  <w:marRight w:val="0"/>
                  <w:marTop w:val="0"/>
                  <w:marBottom w:val="101"/>
                  <w:divBdr>
                    <w:top w:val="none" w:sz="0" w:space="0" w:color="auto"/>
                    <w:left w:val="none" w:sz="0" w:space="0" w:color="auto"/>
                    <w:bottom w:val="none" w:sz="0" w:space="0" w:color="auto"/>
                    <w:right w:val="none" w:sz="0" w:space="0" w:color="auto"/>
                  </w:divBdr>
                </w:div>
                <w:div w:id="816458674">
                  <w:marLeft w:val="1440"/>
                  <w:marRight w:val="0"/>
                  <w:marTop w:val="0"/>
                  <w:marBottom w:val="101"/>
                  <w:divBdr>
                    <w:top w:val="none" w:sz="0" w:space="0" w:color="auto"/>
                    <w:left w:val="none" w:sz="0" w:space="0" w:color="auto"/>
                    <w:bottom w:val="none" w:sz="0" w:space="0" w:color="auto"/>
                    <w:right w:val="none" w:sz="0" w:space="0" w:color="auto"/>
                  </w:divBdr>
                </w:div>
                <w:div w:id="1814758768">
                  <w:marLeft w:val="1440"/>
                  <w:marRight w:val="0"/>
                  <w:marTop w:val="0"/>
                  <w:marBottom w:val="101"/>
                  <w:divBdr>
                    <w:top w:val="none" w:sz="0" w:space="0" w:color="auto"/>
                    <w:left w:val="none" w:sz="0" w:space="0" w:color="auto"/>
                    <w:bottom w:val="none" w:sz="0" w:space="0" w:color="auto"/>
                    <w:right w:val="none" w:sz="0" w:space="0" w:color="auto"/>
                  </w:divBdr>
                </w:div>
                <w:div w:id="572356728">
                  <w:marLeft w:val="1440"/>
                  <w:marRight w:val="0"/>
                  <w:marTop w:val="0"/>
                  <w:marBottom w:val="101"/>
                  <w:divBdr>
                    <w:top w:val="none" w:sz="0" w:space="0" w:color="auto"/>
                    <w:left w:val="none" w:sz="0" w:space="0" w:color="auto"/>
                    <w:bottom w:val="none" w:sz="0" w:space="0" w:color="auto"/>
                    <w:right w:val="none" w:sz="0" w:space="0" w:color="auto"/>
                  </w:divBdr>
                </w:div>
                <w:div w:id="769161905">
                  <w:marLeft w:val="1440"/>
                  <w:marRight w:val="0"/>
                  <w:marTop w:val="0"/>
                  <w:marBottom w:val="101"/>
                  <w:divBdr>
                    <w:top w:val="none" w:sz="0" w:space="0" w:color="auto"/>
                    <w:left w:val="none" w:sz="0" w:space="0" w:color="auto"/>
                    <w:bottom w:val="none" w:sz="0" w:space="0" w:color="auto"/>
                    <w:right w:val="none" w:sz="0" w:space="0" w:color="auto"/>
                  </w:divBdr>
                </w:div>
                <w:div w:id="2022002970">
                  <w:marLeft w:val="2160"/>
                  <w:marRight w:val="0"/>
                  <w:marTop w:val="0"/>
                  <w:marBottom w:val="101"/>
                  <w:divBdr>
                    <w:top w:val="none" w:sz="0" w:space="0" w:color="auto"/>
                    <w:left w:val="none" w:sz="0" w:space="0" w:color="auto"/>
                    <w:bottom w:val="none" w:sz="0" w:space="0" w:color="auto"/>
                    <w:right w:val="none" w:sz="0" w:space="0" w:color="auto"/>
                  </w:divBdr>
                </w:div>
                <w:div w:id="75055358">
                  <w:marLeft w:val="2160"/>
                  <w:marRight w:val="0"/>
                  <w:marTop w:val="0"/>
                  <w:marBottom w:val="101"/>
                  <w:divBdr>
                    <w:top w:val="none" w:sz="0" w:space="0" w:color="auto"/>
                    <w:left w:val="none" w:sz="0" w:space="0" w:color="auto"/>
                    <w:bottom w:val="none" w:sz="0" w:space="0" w:color="auto"/>
                    <w:right w:val="none" w:sz="0" w:space="0" w:color="auto"/>
                  </w:divBdr>
                </w:div>
                <w:div w:id="1536233922">
                  <w:marLeft w:val="2160"/>
                  <w:marRight w:val="0"/>
                  <w:marTop w:val="0"/>
                  <w:marBottom w:val="101"/>
                  <w:divBdr>
                    <w:top w:val="none" w:sz="0" w:space="0" w:color="auto"/>
                    <w:left w:val="none" w:sz="0" w:space="0" w:color="auto"/>
                    <w:bottom w:val="none" w:sz="0" w:space="0" w:color="auto"/>
                    <w:right w:val="none" w:sz="0" w:space="0" w:color="auto"/>
                  </w:divBdr>
                </w:div>
                <w:div w:id="1520073792">
                  <w:marLeft w:val="2160"/>
                  <w:marRight w:val="0"/>
                  <w:marTop w:val="0"/>
                  <w:marBottom w:val="101"/>
                  <w:divBdr>
                    <w:top w:val="none" w:sz="0" w:space="0" w:color="auto"/>
                    <w:left w:val="none" w:sz="0" w:space="0" w:color="auto"/>
                    <w:bottom w:val="none" w:sz="0" w:space="0" w:color="auto"/>
                    <w:right w:val="none" w:sz="0" w:space="0" w:color="auto"/>
                  </w:divBdr>
                </w:div>
                <w:div w:id="1104886734">
                  <w:marLeft w:val="2160"/>
                  <w:marRight w:val="0"/>
                  <w:marTop w:val="0"/>
                  <w:marBottom w:val="101"/>
                  <w:divBdr>
                    <w:top w:val="none" w:sz="0" w:space="0" w:color="auto"/>
                    <w:left w:val="none" w:sz="0" w:space="0" w:color="auto"/>
                    <w:bottom w:val="none" w:sz="0" w:space="0" w:color="auto"/>
                    <w:right w:val="none" w:sz="0" w:space="0" w:color="auto"/>
                  </w:divBdr>
                </w:div>
                <w:div w:id="1726876068">
                  <w:marLeft w:val="2160"/>
                  <w:marRight w:val="0"/>
                  <w:marTop w:val="0"/>
                  <w:marBottom w:val="101"/>
                  <w:divBdr>
                    <w:top w:val="none" w:sz="0" w:space="0" w:color="auto"/>
                    <w:left w:val="none" w:sz="0" w:space="0" w:color="auto"/>
                    <w:bottom w:val="none" w:sz="0" w:space="0" w:color="auto"/>
                    <w:right w:val="none" w:sz="0" w:space="0" w:color="auto"/>
                  </w:divBdr>
                </w:div>
                <w:div w:id="1474102295">
                  <w:marLeft w:val="2160"/>
                  <w:marRight w:val="0"/>
                  <w:marTop w:val="0"/>
                  <w:marBottom w:val="101"/>
                  <w:divBdr>
                    <w:top w:val="none" w:sz="0" w:space="0" w:color="auto"/>
                    <w:left w:val="none" w:sz="0" w:space="0" w:color="auto"/>
                    <w:bottom w:val="none" w:sz="0" w:space="0" w:color="auto"/>
                    <w:right w:val="none" w:sz="0" w:space="0" w:color="auto"/>
                  </w:divBdr>
                </w:div>
                <w:div w:id="475096">
                  <w:marLeft w:val="2160"/>
                  <w:marRight w:val="0"/>
                  <w:marTop w:val="0"/>
                  <w:marBottom w:val="101"/>
                  <w:divBdr>
                    <w:top w:val="none" w:sz="0" w:space="0" w:color="auto"/>
                    <w:left w:val="none" w:sz="0" w:space="0" w:color="auto"/>
                    <w:bottom w:val="none" w:sz="0" w:space="0" w:color="auto"/>
                    <w:right w:val="none" w:sz="0" w:space="0" w:color="auto"/>
                  </w:divBdr>
                </w:div>
                <w:div w:id="1341856049">
                  <w:marLeft w:val="2160"/>
                  <w:marRight w:val="0"/>
                  <w:marTop w:val="0"/>
                  <w:marBottom w:val="101"/>
                  <w:divBdr>
                    <w:top w:val="none" w:sz="0" w:space="0" w:color="auto"/>
                    <w:left w:val="none" w:sz="0" w:space="0" w:color="auto"/>
                    <w:bottom w:val="none" w:sz="0" w:space="0" w:color="auto"/>
                    <w:right w:val="none" w:sz="0" w:space="0" w:color="auto"/>
                  </w:divBdr>
                </w:div>
                <w:div w:id="2065761028">
                  <w:marLeft w:val="2160"/>
                  <w:marRight w:val="0"/>
                  <w:marTop w:val="0"/>
                  <w:marBottom w:val="101"/>
                  <w:divBdr>
                    <w:top w:val="none" w:sz="0" w:space="0" w:color="auto"/>
                    <w:left w:val="none" w:sz="0" w:space="0" w:color="auto"/>
                    <w:bottom w:val="none" w:sz="0" w:space="0" w:color="auto"/>
                    <w:right w:val="none" w:sz="0" w:space="0" w:color="auto"/>
                  </w:divBdr>
                </w:div>
                <w:div w:id="1016613142">
                  <w:marLeft w:val="2160"/>
                  <w:marRight w:val="0"/>
                  <w:marTop w:val="0"/>
                  <w:marBottom w:val="101"/>
                  <w:divBdr>
                    <w:top w:val="none" w:sz="0" w:space="0" w:color="auto"/>
                    <w:left w:val="none" w:sz="0" w:space="0" w:color="auto"/>
                    <w:bottom w:val="none" w:sz="0" w:space="0" w:color="auto"/>
                    <w:right w:val="none" w:sz="0" w:space="0" w:color="auto"/>
                  </w:divBdr>
                </w:div>
                <w:div w:id="1671367712">
                  <w:marLeft w:val="2160"/>
                  <w:marRight w:val="0"/>
                  <w:marTop w:val="0"/>
                  <w:marBottom w:val="101"/>
                  <w:divBdr>
                    <w:top w:val="none" w:sz="0" w:space="0" w:color="auto"/>
                    <w:left w:val="none" w:sz="0" w:space="0" w:color="auto"/>
                    <w:bottom w:val="none" w:sz="0" w:space="0" w:color="auto"/>
                    <w:right w:val="none" w:sz="0" w:space="0" w:color="auto"/>
                  </w:divBdr>
                </w:div>
                <w:div w:id="964196928">
                  <w:marLeft w:val="1440"/>
                  <w:marRight w:val="0"/>
                  <w:marTop w:val="0"/>
                  <w:marBottom w:val="101"/>
                  <w:divBdr>
                    <w:top w:val="none" w:sz="0" w:space="0" w:color="auto"/>
                    <w:left w:val="none" w:sz="0" w:space="0" w:color="auto"/>
                    <w:bottom w:val="none" w:sz="0" w:space="0" w:color="auto"/>
                    <w:right w:val="none" w:sz="0" w:space="0" w:color="auto"/>
                  </w:divBdr>
                </w:div>
                <w:div w:id="112091708">
                  <w:marLeft w:val="1440"/>
                  <w:marRight w:val="0"/>
                  <w:marTop w:val="0"/>
                  <w:marBottom w:val="101"/>
                  <w:divBdr>
                    <w:top w:val="none" w:sz="0" w:space="0" w:color="auto"/>
                    <w:left w:val="none" w:sz="0" w:space="0" w:color="auto"/>
                    <w:bottom w:val="none" w:sz="0" w:space="0" w:color="auto"/>
                    <w:right w:val="none" w:sz="0" w:space="0" w:color="auto"/>
                  </w:divBdr>
                </w:div>
                <w:div w:id="1070927640">
                  <w:marLeft w:val="1440"/>
                  <w:marRight w:val="0"/>
                  <w:marTop w:val="0"/>
                  <w:marBottom w:val="101"/>
                  <w:divBdr>
                    <w:top w:val="none" w:sz="0" w:space="0" w:color="auto"/>
                    <w:left w:val="none" w:sz="0" w:space="0" w:color="auto"/>
                    <w:bottom w:val="none" w:sz="0" w:space="0" w:color="auto"/>
                    <w:right w:val="none" w:sz="0" w:space="0" w:color="auto"/>
                  </w:divBdr>
                </w:div>
                <w:div w:id="222448082">
                  <w:marLeft w:val="1440"/>
                  <w:marRight w:val="0"/>
                  <w:marTop w:val="0"/>
                  <w:marBottom w:val="101"/>
                  <w:divBdr>
                    <w:top w:val="none" w:sz="0" w:space="0" w:color="auto"/>
                    <w:left w:val="none" w:sz="0" w:space="0" w:color="auto"/>
                    <w:bottom w:val="none" w:sz="0" w:space="0" w:color="auto"/>
                    <w:right w:val="none" w:sz="0" w:space="0" w:color="auto"/>
                  </w:divBdr>
                </w:div>
                <w:div w:id="191309729">
                  <w:marLeft w:val="1440"/>
                  <w:marRight w:val="0"/>
                  <w:marTop w:val="0"/>
                  <w:marBottom w:val="101"/>
                  <w:divBdr>
                    <w:top w:val="none" w:sz="0" w:space="0" w:color="auto"/>
                    <w:left w:val="none" w:sz="0" w:space="0" w:color="auto"/>
                    <w:bottom w:val="none" w:sz="0" w:space="0" w:color="auto"/>
                    <w:right w:val="none" w:sz="0" w:space="0" w:color="auto"/>
                  </w:divBdr>
                </w:div>
                <w:div w:id="1641349962">
                  <w:marLeft w:val="1440"/>
                  <w:marRight w:val="0"/>
                  <w:marTop w:val="0"/>
                  <w:marBottom w:val="101"/>
                  <w:divBdr>
                    <w:top w:val="none" w:sz="0" w:space="0" w:color="auto"/>
                    <w:left w:val="none" w:sz="0" w:space="0" w:color="auto"/>
                    <w:bottom w:val="none" w:sz="0" w:space="0" w:color="auto"/>
                    <w:right w:val="none" w:sz="0" w:space="0" w:color="auto"/>
                  </w:divBdr>
                </w:div>
                <w:div w:id="862671268">
                  <w:marLeft w:val="1440"/>
                  <w:marRight w:val="0"/>
                  <w:marTop w:val="0"/>
                  <w:marBottom w:val="101"/>
                  <w:divBdr>
                    <w:top w:val="none" w:sz="0" w:space="0" w:color="auto"/>
                    <w:left w:val="none" w:sz="0" w:space="0" w:color="auto"/>
                    <w:bottom w:val="none" w:sz="0" w:space="0" w:color="auto"/>
                    <w:right w:val="none" w:sz="0" w:space="0" w:color="auto"/>
                  </w:divBdr>
                </w:div>
                <w:div w:id="642468122">
                  <w:marLeft w:val="1440"/>
                  <w:marRight w:val="0"/>
                  <w:marTop w:val="0"/>
                  <w:marBottom w:val="101"/>
                  <w:divBdr>
                    <w:top w:val="none" w:sz="0" w:space="0" w:color="auto"/>
                    <w:left w:val="none" w:sz="0" w:space="0" w:color="auto"/>
                    <w:bottom w:val="none" w:sz="0" w:space="0" w:color="auto"/>
                    <w:right w:val="none" w:sz="0" w:space="0" w:color="auto"/>
                  </w:divBdr>
                </w:div>
                <w:div w:id="143547680">
                  <w:marLeft w:val="1440"/>
                  <w:marRight w:val="0"/>
                  <w:marTop w:val="0"/>
                  <w:marBottom w:val="101"/>
                  <w:divBdr>
                    <w:top w:val="none" w:sz="0" w:space="0" w:color="auto"/>
                    <w:left w:val="none" w:sz="0" w:space="0" w:color="auto"/>
                    <w:bottom w:val="none" w:sz="0" w:space="0" w:color="auto"/>
                    <w:right w:val="none" w:sz="0" w:space="0" w:color="auto"/>
                  </w:divBdr>
                </w:div>
                <w:div w:id="849219087">
                  <w:marLeft w:val="2160"/>
                  <w:marRight w:val="0"/>
                  <w:marTop w:val="0"/>
                  <w:marBottom w:val="101"/>
                  <w:divBdr>
                    <w:top w:val="none" w:sz="0" w:space="0" w:color="auto"/>
                    <w:left w:val="none" w:sz="0" w:space="0" w:color="auto"/>
                    <w:bottom w:val="none" w:sz="0" w:space="0" w:color="auto"/>
                    <w:right w:val="none" w:sz="0" w:space="0" w:color="auto"/>
                  </w:divBdr>
                </w:div>
                <w:div w:id="1370179195">
                  <w:marLeft w:val="2160"/>
                  <w:marRight w:val="0"/>
                  <w:marTop w:val="0"/>
                  <w:marBottom w:val="101"/>
                  <w:divBdr>
                    <w:top w:val="none" w:sz="0" w:space="0" w:color="auto"/>
                    <w:left w:val="none" w:sz="0" w:space="0" w:color="auto"/>
                    <w:bottom w:val="none" w:sz="0" w:space="0" w:color="auto"/>
                    <w:right w:val="none" w:sz="0" w:space="0" w:color="auto"/>
                  </w:divBdr>
                </w:div>
                <w:div w:id="1867333565">
                  <w:marLeft w:val="2160"/>
                  <w:marRight w:val="0"/>
                  <w:marTop w:val="0"/>
                  <w:marBottom w:val="101"/>
                  <w:divBdr>
                    <w:top w:val="none" w:sz="0" w:space="0" w:color="auto"/>
                    <w:left w:val="none" w:sz="0" w:space="0" w:color="auto"/>
                    <w:bottom w:val="none" w:sz="0" w:space="0" w:color="auto"/>
                    <w:right w:val="none" w:sz="0" w:space="0" w:color="auto"/>
                  </w:divBdr>
                </w:div>
                <w:div w:id="1231962896">
                  <w:marLeft w:val="2160"/>
                  <w:marRight w:val="0"/>
                  <w:marTop w:val="0"/>
                  <w:marBottom w:val="101"/>
                  <w:divBdr>
                    <w:top w:val="none" w:sz="0" w:space="0" w:color="auto"/>
                    <w:left w:val="none" w:sz="0" w:space="0" w:color="auto"/>
                    <w:bottom w:val="none" w:sz="0" w:space="0" w:color="auto"/>
                    <w:right w:val="none" w:sz="0" w:space="0" w:color="auto"/>
                  </w:divBdr>
                </w:div>
                <w:div w:id="1223902627">
                  <w:marLeft w:val="2160"/>
                  <w:marRight w:val="0"/>
                  <w:marTop w:val="0"/>
                  <w:marBottom w:val="101"/>
                  <w:divBdr>
                    <w:top w:val="none" w:sz="0" w:space="0" w:color="auto"/>
                    <w:left w:val="none" w:sz="0" w:space="0" w:color="auto"/>
                    <w:bottom w:val="none" w:sz="0" w:space="0" w:color="auto"/>
                    <w:right w:val="none" w:sz="0" w:space="0" w:color="auto"/>
                  </w:divBdr>
                </w:div>
                <w:div w:id="178930021">
                  <w:marLeft w:val="2160"/>
                  <w:marRight w:val="0"/>
                  <w:marTop w:val="0"/>
                  <w:marBottom w:val="101"/>
                  <w:divBdr>
                    <w:top w:val="none" w:sz="0" w:space="0" w:color="auto"/>
                    <w:left w:val="none" w:sz="0" w:space="0" w:color="auto"/>
                    <w:bottom w:val="none" w:sz="0" w:space="0" w:color="auto"/>
                    <w:right w:val="none" w:sz="0" w:space="0" w:color="auto"/>
                  </w:divBdr>
                </w:div>
                <w:div w:id="1462573281">
                  <w:marLeft w:val="2160"/>
                  <w:marRight w:val="0"/>
                  <w:marTop w:val="0"/>
                  <w:marBottom w:val="101"/>
                  <w:divBdr>
                    <w:top w:val="none" w:sz="0" w:space="0" w:color="auto"/>
                    <w:left w:val="none" w:sz="0" w:space="0" w:color="auto"/>
                    <w:bottom w:val="none" w:sz="0" w:space="0" w:color="auto"/>
                    <w:right w:val="none" w:sz="0" w:space="0" w:color="auto"/>
                  </w:divBdr>
                </w:div>
                <w:div w:id="2042245187">
                  <w:marLeft w:val="2160"/>
                  <w:marRight w:val="0"/>
                  <w:marTop w:val="0"/>
                  <w:marBottom w:val="101"/>
                  <w:divBdr>
                    <w:top w:val="none" w:sz="0" w:space="0" w:color="auto"/>
                    <w:left w:val="none" w:sz="0" w:space="0" w:color="auto"/>
                    <w:bottom w:val="none" w:sz="0" w:space="0" w:color="auto"/>
                    <w:right w:val="none" w:sz="0" w:space="0" w:color="auto"/>
                  </w:divBdr>
                </w:div>
                <w:div w:id="585529964">
                  <w:marLeft w:val="2160"/>
                  <w:marRight w:val="0"/>
                  <w:marTop w:val="0"/>
                  <w:marBottom w:val="101"/>
                  <w:divBdr>
                    <w:top w:val="none" w:sz="0" w:space="0" w:color="auto"/>
                    <w:left w:val="none" w:sz="0" w:space="0" w:color="auto"/>
                    <w:bottom w:val="none" w:sz="0" w:space="0" w:color="auto"/>
                    <w:right w:val="none" w:sz="0" w:space="0" w:color="auto"/>
                  </w:divBdr>
                </w:div>
                <w:div w:id="795947380">
                  <w:marLeft w:val="1440"/>
                  <w:marRight w:val="0"/>
                  <w:marTop w:val="0"/>
                  <w:marBottom w:val="101"/>
                  <w:divBdr>
                    <w:top w:val="none" w:sz="0" w:space="0" w:color="auto"/>
                    <w:left w:val="none" w:sz="0" w:space="0" w:color="auto"/>
                    <w:bottom w:val="none" w:sz="0" w:space="0" w:color="auto"/>
                    <w:right w:val="none" w:sz="0" w:space="0" w:color="auto"/>
                  </w:divBdr>
                </w:div>
                <w:div w:id="1351835183">
                  <w:marLeft w:val="1440"/>
                  <w:marRight w:val="0"/>
                  <w:marTop w:val="0"/>
                  <w:marBottom w:val="101"/>
                  <w:divBdr>
                    <w:top w:val="none" w:sz="0" w:space="0" w:color="auto"/>
                    <w:left w:val="none" w:sz="0" w:space="0" w:color="auto"/>
                    <w:bottom w:val="none" w:sz="0" w:space="0" w:color="auto"/>
                    <w:right w:val="none" w:sz="0" w:space="0" w:color="auto"/>
                  </w:divBdr>
                </w:div>
                <w:div w:id="1434200822">
                  <w:marLeft w:val="1440"/>
                  <w:marRight w:val="0"/>
                  <w:marTop w:val="0"/>
                  <w:marBottom w:val="101"/>
                  <w:divBdr>
                    <w:top w:val="none" w:sz="0" w:space="0" w:color="auto"/>
                    <w:left w:val="none" w:sz="0" w:space="0" w:color="auto"/>
                    <w:bottom w:val="none" w:sz="0" w:space="0" w:color="auto"/>
                    <w:right w:val="none" w:sz="0" w:space="0" w:color="auto"/>
                  </w:divBdr>
                </w:div>
                <w:div w:id="715861342">
                  <w:marLeft w:val="1440"/>
                  <w:marRight w:val="0"/>
                  <w:marTop w:val="0"/>
                  <w:marBottom w:val="101"/>
                  <w:divBdr>
                    <w:top w:val="none" w:sz="0" w:space="0" w:color="auto"/>
                    <w:left w:val="none" w:sz="0" w:space="0" w:color="auto"/>
                    <w:bottom w:val="none" w:sz="0" w:space="0" w:color="auto"/>
                    <w:right w:val="none" w:sz="0" w:space="0" w:color="auto"/>
                  </w:divBdr>
                </w:div>
                <w:div w:id="192115121">
                  <w:marLeft w:val="1440"/>
                  <w:marRight w:val="0"/>
                  <w:marTop w:val="0"/>
                  <w:marBottom w:val="101"/>
                  <w:divBdr>
                    <w:top w:val="none" w:sz="0" w:space="0" w:color="auto"/>
                    <w:left w:val="none" w:sz="0" w:space="0" w:color="auto"/>
                    <w:bottom w:val="none" w:sz="0" w:space="0" w:color="auto"/>
                    <w:right w:val="none" w:sz="0" w:space="0" w:color="auto"/>
                  </w:divBdr>
                </w:div>
                <w:div w:id="884295467">
                  <w:marLeft w:val="1440"/>
                  <w:marRight w:val="0"/>
                  <w:marTop w:val="0"/>
                  <w:marBottom w:val="101"/>
                  <w:divBdr>
                    <w:top w:val="none" w:sz="0" w:space="0" w:color="auto"/>
                    <w:left w:val="none" w:sz="0" w:space="0" w:color="auto"/>
                    <w:bottom w:val="none" w:sz="0" w:space="0" w:color="auto"/>
                    <w:right w:val="none" w:sz="0" w:space="0" w:color="auto"/>
                  </w:divBdr>
                </w:div>
                <w:div w:id="1778134272">
                  <w:marLeft w:val="1440"/>
                  <w:marRight w:val="0"/>
                  <w:marTop w:val="0"/>
                  <w:marBottom w:val="101"/>
                  <w:divBdr>
                    <w:top w:val="none" w:sz="0" w:space="0" w:color="auto"/>
                    <w:left w:val="none" w:sz="0" w:space="0" w:color="auto"/>
                    <w:bottom w:val="none" w:sz="0" w:space="0" w:color="auto"/>
                    <w:right w:val="none" w:sz="0" w:space="0" w:color="auto"/>
                  </w:divBdr>
                </w:div>
                <w:div w:id="1888451082">
                  <w:marLeft w:val="2160"/>
                  <w:marRight w:val="0"/>
                  <w:marTop w:val="0"/>
                  <w:marBottom w:val="101"/>
                  <w:divBdr>
                    <w:top w:val="none" w:sz="0" w:space="0" w:color="auto"/>
                    <w:left w:val="none" w:sz="0" w:space="0" w:color="auto"/>
                    <w:bottom w:val="none" w:sz="0" w:space="0" w:color="auto"/>
                    <w:right w:val="none" w:sz="0" w:space="0" w:color="auto"/>
                  </w:divBdr>
                </w:div>
                <w:div w:id="1888714051">
                  <w:marLeft w:val="2160"/>
                  <w:marRight w:val="0"/>
                  <w:marTop w:val="0"/>
                  <w:marBottom w:val="101"/>
                  <w:divBdr>
                    <w:top w:val="none" w:sz="0" w:space="0" w:color="auto"/>
                    <w:left w:val="none" w:sz="0" w:space="0" w:color="auto"/>
                    <w:bottom w:val="none" w:sz="0" w:space="0" w:color="auto"/>
                    <w:right w:val="none" w:sz="0" w:space="0" w:color="auto"/>
                  </w:divBdr>
                </w:div>
                <w:div w:id="624851248">
                  <w:marLeft w:val="1440"/>
                  <w:marRight w:val="0"/>
                  <w:marTop w:val="0"/>
                  <w:marBottom w:val="101"/>
                  <w:divBdr>
                    <w:top w:val="none" w:sz="0" w:space="0" w:color="auto"/>
                    <w:left w:val="none" w:sz="0" w:space="0" w:color="auto"/>
                    <w:bottom w:val="none" w:sz="0" w:space="0" w:color="auto"/>
                    <w:right w:val="none" w:sz="0" w:space="0" w:color="auto"/>
                  </w:divBdr>
                </w:div>
                <w:div w:id="1087923100">
                  <w:marLeft w:val="1440"/>
                  <w:marRight w:val="0"/>
                  <w:marTop w:val="0"/>
                  <w:marBottom w:val="101"/>
                  <w:divBdr>
                    <w:top w:val="none" w:sz="0" w:space="0" w:color="auto"/>
                    <w:left w:val="none" w:sz="0" w:space="0" w:color="auto"/>
                    <w:bottom w:val="none" w:sz="0" w:space="0" w:color="auto"/>
                    <w:right w:val="none" w:sz="0" w:space="0" w:color="auto"/>
                  </w:divBdr>
                </w:div>
                <w:div w:id="185220338">
                  <w:marLeft w:val="1440"/>
                  <w:marRight w:val="0"/>
                  <w:marTop w:val="0"/>
                  <w:marBottom w:val="101"/>
                  <w:divBdr>
                    <w:top w:val="none" w:sz="0" w:space="0" w:color="auto"/>
                    <w:left w:val="none" w:sz="0" w:space="0" w:color="auto"/>
                    <w:bottom w:val="none" w:sz="0" w:space="0" w:color="auto"/>
                    <w:right w:val="none" w:sz="0" w:space="0" w:color="auto"/>
                  </w:divBdr>
                </w:div>
                <w:div w:id="933517547">
                  <w:marLeft w:val="1440"/>
                  <w:marRight w:val="0"/>
                  <w:marTop w:val="0"/>
                  <w:marBottom w:val="101"/>
                  <w:divBdr>
                    <w:top w:val="none" w:sz="0" w:space="0" w:color="auto"/>
                    <w:left w:val="none" w:sz="0" w:space="0" w:color="auto"/>
                    <w:bottom w:val="none" w:sz="0" w:space="0" w:color="auto"/>
                    <w:right w:val="none" w:sz="0" w:space="0" w:color="auto"/>
                  </w:divBdr>
                </w:div>
                <w:div w:id="1252084667">
                  <w:marLeft w:val="1440"/>
                  <w:marRight w:val="0"/>
                  <w:marTop w:val="0"/>
                  <w:marBottom w:val="101"/>
                  <w:divBdr>
                    <w:top w:val="none" w:sz="0" w:space="0" w:color="auto"/>
                    <w:left w:val="none" w:sz="0" w:space="0" w:color="auto"/>
                    <w:bottom w:val="none" w:sz="0" w:space="0" w:color="auto"/>
                    <w:right w:val="none" w:sz="0" w:space="0" w:color="auto"/>
                  </w:divBdr>
                </w:div>
                <w:div w:id="1727340421">
                  <w:marLeft w:val="1440"/>
                  <w:marRight w:val="0"/>
                  <w:marTop w:val="0"/>
                  <w:marBottom w:val="101"/>
                  <w:divBdr>
                    <w:top w:val="none" w:sz="0" w:space="0" w:color="auto"/>
                    <w:left w:val="none" w:sz="0" w:space="0" w:color="auto"/>
                    <w:bottom w:val="none" w:sz="0" w:space="0" w:color="auto"/>
                    <w:right w:val="none" w:sz="0" w:space="0" w:color="auto"/>
                  </w:divBdr>
                </w:div>
                <w:div w:id="1108040432">
                  <w:marLeft w:val="2160"/>
                  <w:marRight w:val="0"/>
                  <w:marTop w:val="0"/>
                  <w:marBottom w:val="101"/>
                  <w:divBdr>
                    <w:top w:val="none" w:sz="0" w:space="0" w:color="auto"/>
                    <w:left w:val="none" w:sz="0" w:space="0" w:color="auto"/>
                    <w:bottom w:val="none" w:sz="0" w:space="0" w:color="auto"/>
                    <w:right w:val="none" w:sz="0" w:space="0" w:color="auto"/>
                  </w:divBdr>
                </w:div>
                <w:div w:id="1536503690">
                  <w:marLeft w:val="2160"/>
                  <w:marRight w:val="0"/>
                  <w:marTop w:val="0"/>
                  <w:marBottom w:val="60"/>
                  <w:divBdr>
                    <w:top w:val="none" w:sz="0" w:space="0" w:color="auto"/>
                    <w:left w:val="none" w:sz="0" w:space="0" w:color="auto"/>
                    <w:bottom w:val="none" w:sz="0" w:space="0" w:color="auto"/>
                    <w:right w:val="none" w:sz="0" w:space="0" w:color="auto"/>
                  </w:divBdr>
                </w:div>
                <w:div w:id="1687556641">
                  <w:marLeft w:val="2160"/>
                  <w:marRight w:val="0"/>
                  <w:marTop w:val="0"/>
                  <w:marBottom w:val="60"/>
                  <w:divBdr>
                    <w:top w:val="none" w:sz="0" w:space="0" w:color="auto"/>
                    <w:left w:val="none" w:sz="0" w:space="0" w:color="auto"/>
                    <w:bottom w:val="none" w:sz="0" w:space="0" w:color="auto"/>
                    <w:right w:val="none" w:sz="0" w:space="0" w:color="auto"/>
                  </w:divBdr>
                </w:div>
                <w:div w:id="2080931789">
                  <w:marLeft w:val="2160"/>
                  <w:marRight w:val="0"/>
                  <w:marTop w:val="0"/>
                  <w:marBottom w:val="60"/>
                  <w:divBdr>
                    <w:top w:val="none" w:sz="0" w:space="0" w:color="auto"/>
                    <w:left w:val="none" w:sz="0" w:space="0" w:color="auto"/>
                    <w:bottom w:val="none" w:sz="0" w:space="0" w:color="auto"/>
                    <w:right w:val="none" w:sz="0" w:space="0" w:color="auto"/>
                  </w:divBdr>
                </w:div>
                <w:div w:id="44915155">
                  <w:marLeft w:val="2160"/>
                  <w:marRight w:val="0"/>
                  <w:marTop w:val="0"/>
                  <w:marBottom w:val="60"/>
                  <w:divBdr>
                    <w:top w:val="none" w:sz="0" w:space="0" w:color="auto"/>
                    <w:left w:val="none" w:sz="0" w:space="0" w:color="auto"/>
                    <w:bottom w:val="none" w:sz="0" w:space="0" w:color="auto"/>
                    <w:right w:val="none" w:sz="0" w:space="0" w:color="auto"/>
                  </w:divBdr>
                </w:div>
                <w:div w:id="546070444">
                  <w:marLeft w:val="2592"/>
                  <w:marRight w:val="0"/>
                  <w:marTop w:val="0"/>
                  <w:marBottom w:val="60"/>
                  <w:divBdr>
                    <w:top w:val="none" w:sz="0" w:space="0" w:color="auto"/>
                    <w:left w:val="none" w:sz="0" w:space="0" w:color="auto"/>
                    <w:bottom w:val="none" w:sz="0" w:space="0" w:color="auto"/>
                    <w:right w:val="none" w:sz="0" w:space="0" w:color="auto"/>
                  </w:divBdr>
                </w:div>
                <w:div w:id="1752462093">
                  <w:marLeft w:val="2592"/>
                  <w:marRight w:val="0"/>
                  <w:marTop w:val="0"/>
                  <w:marBottom w:val="60"/>
                  <w:divBdr>
                    <w:top w:val="none" w:sz="0" w:space="0" w:color="auto"/>
                    <w:left w:val="none" w:sz="0" w:space="0" w:color="auto"/>
                    <w:bottom w:val="none" w:sz="0" w:space="0" w:color="auto"/>
                    <w:right w:val="none" w:sz="0" w:space="0" w:color="auto"/>
                  </w:divBdr>
                </w:div>
                <w:div w:id="1986154642">
                  <w:marLeft w:val="2592"/>
                  <w:marRight w:val="0"/>
                  <w:marTop w:val="0"/>
                  <w:marBottom w:val="60"/>
                  <w:divBdr>
                    <w:top w:val="none" w:sz="0" w:space="0" w:color="auto"/>
                    <w:left w:val="none" w:sz="0" w:space="0" w:color="auto"/>
                    <w:bottom w:val="none" w:sz="0" w:space="0" w:color="auto"/>
                    <w:right w:val="none" w:sz="0" w:space="0" w:color="auto"/>
                  </w:divBdr>
                </w:div>
                <w:div w:id="591201438">
                  <w:marLeft w:val="2592"/>
                  <w:marRight w:val="0"/>
                  <w:marTop w:val="0"/>
                  <w:marBottom w:val="60"/>
                  <w:divBdr>
                    <w:top w:val="none" w:sz="0" w:space="0" w:color="auto"/>
                    <w:left w:val="none" w:sz="0" w:space="0" w:color="auto"/>
                    <w:bottom w:val="none" w:sz="0" w:space="0" w:color="auto"/>
                    <w:right w:val="none" w:sz="0" w:space="0" w:color="auto"/>
                  </w:divBdr>
                </w:div>
                <w:div w:id="992565295">
                  <w:marLeft w:val="2592"/>
                  <w:marRight w:val="0"/>
                  <w:marTop w:val="0"/>
                  <w:marBottom w:val="101"/>
                  <w:divBdr>
                    <w:top w:val="none" w:sz="0" w:space="0" w:color="auto"/>
                    <w:left w:val="none" w:sz="0" w:space="0" w:color="auto"/>
                    <w:bottom w:val="none" w:sz="0" w:space="0" w:color="auto"/>
                    <w:right w:val="none" w:sz="0" w:space="0" w:color="auto"/>
                  </w:divBdr>
                </w:div>
                <w:div w:id="721566113">
                  <w:marLeft w:val="2592"/>
                  <w:marRight w:val="0"/>
                  <w:marTop w:val="0"/>
                  <w:marBottom w:val="101"/>
                  <w:divBdr>
                    <w:top w:val="none" w:sz="0" w:space="0" w:color="auto"/>
                    <w:left w:val="none" w:sz="0" w:space="0" w:color="auto"/>
                    <w:bottom w:val="none" w:sz="0" w:space="0" w:color="auto"/>
                    <w:right w:val="none" w:sz="0" w:space="0" w:color="auto"/>
                  </w:divBdr>
                </w:div>
                <w:div w:id="1722289347">
                  <w:marLeft w:val="3024"/>
                  <w:marRight w:val="0"/>
                  <w:marTop w:val="0"/>
                  <w:marBottom w:val="101"/>
                  <w:divBdr>
                    <w:top w:val="none" w:sz="0" w:space="0" w:color="auto"/>
                    <w:left w:val="none" w:sz="0" w:space="0" w:color="auto"/>
                    <w:bottom w:val="none" w:sz="0" w:space="0" w:color="auto"/>
                    <w:right w:val="none" w:sz="0" w:space="0" w:color="auto"/>
                  </w:divBdr>
                </w:div>
                <w:div w:id="430853384">
                  <w:marLeft w:val="3024"/>
                  <w:marRight w:val="0"/>
                  <w:marTop w:val="0"/>
                  <w:marBottom w:val="101"/>
                  <w:divBdr>
                    <w:top w:val="none" w:sz="0" w:space="0" w:color="auto"/>
                    <w:left w:val="none" w:sz="0" w:space="0" w:color="auto"/>
                    <w:bottom w:val="none" w:sz="0" w:space="0" w:color="auto"/>
                    <w:right w:val="none" w:sz="0" w:space="0" w:color="auto"/>
                  </w:divBdr>
                </w:div>
                <w:div w:id="1468890794">
                  <w:marLeft w:val="3024"/>
                  <w:marRight w:val="0"/>
                  <w:marTop w:val="0"/>
                  <w:marBottom w:val="101"/>
                  <w:divBdr>
                    <w:top w:val="none" w:sz="0" w:space="0" w:color="auto"/>
                    <w:left w:val="none" w:sz="0" w:space="0" w:color="auto"/>
                    <w:bottom w:val="none" w:sz="0" w:space="0" w:color="auto"/>
                    <w:right w:val="none" w:sz="0" w:space="0" w:color="auto"/>
                  </w:divBdr>
                </w:div>
                <w:div w:id="2046296830">
                  <w:marLeft w:val="3024"/>
                  <w:marRight w:val="0"/>
                  <w:marTop w:val="0"/>
                  <w:marBottom w:val="101"/>
                  <w:divBdr>
                    <w:top w:val="none" w:sz="0" w:space="0" w:color="auto"/>
                    <w:left w:val="none" w:sz="0" w:space="0" w:color="auto"/>
                    <w:bottom w:val="none" w:sz="0" w:space="0" w:color="auto"/>
                    <w:right w:val="none" w:sz="0" w:space="0" w:color="auto"/>
                  </w:divBdr>
                </w:div>
                <w:div w:id="1584755504">
                  <w:marLeft w:val="2160"/>
                  <w:marRight w:val="0"/>
                  <w:marTop w:val="0"/>
                  <w:marBottom w:val="101"/>
                  <w:divBdr>
                    <w:top w:val="none" w:sz="0" w:space="0" w:color="auto"/>
                    <w:left w:val="none" w:sz="0" w:space="0" w:color="auto"/>
                    <w:bottom w:val="none" w:sz="0" w:space="0" w:color="auto"/>
                    <w:right w:val="none" w:sz="0" w:space="0" w:color="auto"/>
                  </w:divBdr>
                </w:div>
                <w:div w:id="834999852">
                  <w:marLeft w:val="1440"/>
                  <w:marRight w:val="0"/>
                  <w:marTop w:val="0"/>
                  <w:marBottom w:val="101"/>
                  <w:divBdr>
                    <w:top w:val="none" w:sz="0" w:space="0" w:color="auto"/>
                    <w:left w:val="none" w:sz="0" w:space="0" w:color="auto"/>
                    <w:bottom w:val="none" w:sz="0" w:space="0" w:color="auto"/>
                    <w:right w:val="none" w:sz="0" w:space="0" w:color="auto"/>
                  </w:divBdr>
                </w:div>
                <w:div w:id="821435275">
                  <w:marLeft w:val="2160"/>
                  <w:marRight w:val="0"/>
                  <w:marTop w:val="0"/>
                  <w:marBottom w:val="101"/>
                  <w:divBdr>
                    <w:top w:val="none" w:sz="0" w:space="0" w:color="auto"/>
                    <w:left w:val="none" w:sz="0" w:space="0" w:color="auto"/>
                    <w:bottom w:val="none" w:sz="0" w:space="0" w:color="auto"/>
                    <w:right w:val="none" w:sz="0" w:space="0" w:color="auto"/>
                  </w:divBdr>
                </w:div>
                <w:div w:id="876625059">
                  <w:marLeft w:val="2160"/>
                  <w:marRight w:val="0"/>
                  <w:marTop w:val="0"/>
                  <w:marBottom w:val="101"/>
                  <w:divBdr>
                    <w:top w:val="none" w:sz="0" w:space="0" w:color="auto"/>
                    <w:left w:val="none" w:sz="0" w:space="0" w:color="auto"/>
                    <w:bottom w:val="none" w:sz="0" w:space="0" w:color="auto"/>
                    <w:right w:val="none" w:sz="0" w:space="0" w:color="auto"/>
                  </w:divBdr>
                </w:div>
                <w:div w:id="1405181153">
                  <w:marLeft w:val="2160"/>
                  <w:marRight w:val="0"/>
                  <w:marTop w:val="0"/>
                  <w:marBottom w:val="101"/>
                  <w:divBdr>
                    <w:top w:val="none" w:sz="0" w:space="0" w:color="auto"/>
                    <w:left w:val="none" w:sz="0" w:space="0" w:color="auto"/>
                    <w:bottom w:val="none" w:sz="0" w:space="0" w:color="auto"/>
                    <w:right w:val="none" w:sz="0" w:space="0" w:color="auto"/>
                  </w:divBdr>
                </w:div>
                <w:div w:id="887035251">
                  <w:marLeft w:val="2160"/>
                  <w:marRight w:val="0"/>
                  <w:marTop w:val="0"/>
                  <w:marBottom w:val="101"/>
                  <w:divBdr>
                    <w:top w:val="none" w:sz="0" w:space="0" w:color="auto"/>
                    <w:left w:val="none" w:sz="0" w:space="0" w:color="auto"/>
                    <w:bottom w:val="none" w:sz="0" w:space="0" w:color="auto"/>
                    <w:right w:val="none" w:sz="0" w:space="0" w:color="auto"/>
                  </w:divBdr>
                </w:div>
                <w:div w:id="1906063656">
                  <w:marLeft w:val="2160"/>
                  <w:marRight w:val="0"/>
                  <w:marTop w:val="0"/>
                  <w:marBottom w:val="101"/>
                  <w:divBdr>
                    <w:top w:val="none" w:sz="0" w:space="0" w:color="auto"/>
                    <w:left w:val="none" w:sz="0" w:space="0" w:color="auto"/>
                    <w:bottom w:val="none" w:sz="0" w:space="0" w:color="auto"/>
                    <w:right w:val="none" w:sz="0" w:space="0" w:color="auto"/>
                  </w:divBdr>
                </w:div>
                <w:div w:id="1217547040">
                  <w:marLeft w:val="1440"/>
                  <w:marRight w:val="0"/>
                  <w:marTop w:val="0"/>
                  <w:marBottom w:val="101"/>
                  <w:divBdr>
                    <w:top w:val="none" w:sz="0" w:space="0" w:color="auto"/>
                    <w:left w:val="none" w:sz="0" w:space="0" w:color="auto"/>
                    <w:bottom w:val="none" w:sz="0" w:space="0" w:color="auto"/>
                    <w:right w:val="none" w:sz="0" w:space="0" w:color="auto"/>
                  </w:divBdr>
                </w:div>
                <w:div w:id="898129947">
                  <w:marLeft w:val="1440"/>
                  <w:marRight w:val="0"/>
                  <w:marTop w:val="0"/>
                  <w:marBottom w:val="101"/>
                  <w:divBdr>
                    <w:top w:val="none" w:sz="0" w:space="0" w:color="auto"/>
                    <w:left w:val="none" w:sz="0" w:space="0" w:color="auto"/>
                    <w:bottom w:val="none" w:sz="0" w:space="0" w:color="auto"/>
                    <w:right w:val="none" w:sz="0" w:space="0" w:color="auto"/>
                  </w:divBdr>
                </w:div>
                <w:div w:id="268894482">
                  <w:marLeft w:val="2592"/>
                  <w:marRight w:val="0"/>
                  <w:marTop w:val="0"/>
                  <w:marBottom w:val="101"/>
                  <w:divBdr>
                    <w:top w:val="none" w:sz="0" w:space="0" w:color="auto"/>
                    <w:left w:val="none" w:sz="0" w:space="0" w:color="auto"/>
                    <w:bottom w:val="none" w:sz="0" w:space="0" w:color="auto"/>
                    <w:right w:val="none" w:sz="0" w:space="0" w:color="auto"/>
                  </w:divBdr>
                </w:div>
                <w:div w:id="87429940">
                  <w:marLeft w:val="2592"/>
                  <w:marRight w:val="0"/>
                  <w:marTop w:val="0"/>
                  <w:marBottom w:val="101"/>
                  <w:divBdr>
                    <w:top w:val="none" w:sz="0" w:space="0" w:color="auto"/>
                    <w:left w:val="none" w:sz="0" w:space="0" w:color="auto"/>
                    <w:bottom w:val="none" w:sz="0" w:space="0" w:color="auto"/>
                    <w:right w:val="none" w:sz="0" w:space="0" w:color="auto"/>
                  </w:divBdr>
                </w:div>
                <w:div w:id="945314233">
                  <w:marLeft w:val="1440"/>
                  <w:marRight w:val="0"/>
                  <w:marTop w:val="0"/>
                  <w:marBottom w:val="101"/>
                  <w:divBdr>
                    <w:top w:val="none" w:sz="0" w:space="0" w:color="auto"/>
                    <w:left w:val="none" w:sz="0" w:space="0" w:color="auto"/>
                    <w:bottom w:val="none" w:sz="0" w:space="0" w:color="auto"/>
                    <w:right w:val="none" w:sz="0" w:space="0" w:color="auto"/>
                  </w:divBdr>
                </w:div>
                <w:div w:id="504172045">
                  <w:marLeft w:val="2592"/>
                  <w:marRight w:val="0"/>
                  <w:marTop w:val="0"/>
                  <w:marBottom w:val="101"/>
                  <w:divBdr>
                    <w:top w:val="none" w:sz="0" w:space="0" w:color="auto"/>
                    <w:left w:val="none" w:sz="0" w:space="0" w:color="auto"/>
                    <w:bottom w:val="none" w:sz="0" w:space="0" w:color="auto"/>
                    <w:right w:val="none" w:sz="0" w:space="0" w:color="auto"/>
                  </w:divBdr>
                </w:div>
                <w:div w:id="237331804">
                  <w:marLeft w:val="2592"/>
                  <w:marRight w:val="0"/>
                  <w:marTop w:val="0"/>
                  <w:marBottom w:val="101"/>
                  <w:divBdr>
                    <w:top w:val="none" w:sz="0" w:space="0" w:color="auto"/>
                    <w:left w:val="none" w:sz="0" w:space="0" w:color="auto"/>
                    <w:bottom w:val="none" w:sz="0" w:space="0" w:color="auto"/>
                    <w:right w:val="none" w:sz="0" w:space="0" w:color="auto"/>
                  </w:divBdr>
                </w:div>
                <w:div w:id="672562909">
                  <w:marLeft w:val="1440"/>
                  <w:marRight w:val="0"/>
                  <w:marTop w:val="0"/>
                  <w:marBottom w:val="101"/>
                  <w:divBdr>
                    <w:top w:val="none" w:sz="0" w:space="0" w:color="auto"/>
                    <w:left w:val="none" w:sz="0" w:space="0" w:color="auto"/>
                    <w:bottom w:val="none" w:sz="0" w:space="0" w:color="auto"/>
                    <w:right w:val="none" w:sz="0" w:space="0" w:color="auto"/>
                  </w:divBdr>
                </w:div>
                <w:div w:id="90785590">
                  <w:marLeft w:val="2592"/>
                  <w:marRight w:val="0"/>
                  <w:marTop w:val="0"/>
                  <w:marBottom w:val="101"/>
                  <w:divBdr>
                    <w:top w:val="none" w:sz="0" w:space="0" w:color="auto"/>
                    <w:left w:val="none" w:sz="0" w:space="0" w:color="auto"/>
                    <w:bottom w:val="none" w:sz="0" w:space="0" w:color="auto"/>
                    <w:right w:val="none" w:sz="0" w:space="0" w:color="auto"/>
                  </w:divBdr>
                </w:div>
                <w:div w:id="1895772875">
                  <w:marLeft w:val="2592"/>
                  <w:marRight w:val="0"/>
                  <w:marTop w:val="0"/>
                  <w:marBottom w:val="101"/>
                  <w:divBdr>
                    <w:top w:val="none" w:sz="0" w:space="0" w:color="auto"/>
                    <w:left w:val="none" w:sz="0" w:space="0" w:color="auto"/>
                    <w:bottom w:val="none" w:sz="0" w:space="0" w:color="auto"/>
                    <w:right w:val="none" w:sz="0" w:space="0" w:color="auto"/>
                  </w:divBdr>
                </w:div>
                <w:div w:id="598179283">
                  <w:marLeft w:val="1440"/>
                  <w:marRight w:val="0"/>
                  <w:marTop w:val="0"/>
                  <w:marBottom w:val="101"/>
                  <w:divBdr>
                    <w:top w:val="none" w:sz="0" w:space="0" w:color="auto"/>
                    <w:left w:val="none" w:sz="0" w:space="0" w:color="auto"/>
                    <w:bottom w:val="none" w:sz="0" w:space="0" w:color="auto"/>
                    <w:right w:val="none" w:sz="0" w:space="0" w:color="auto"/>
                  </w:divBdr>
                </w:div>
                <w:div w:id="1011907421">
                  <w:marLeft w:val="1440"/>
                  <w:marRight w:val="0"/>
                  <w:marTop w:val="0"/>
                  <w:marBottom w:val="101"/>
                  <w:divBdr>
                    <w:top w:val="none" w:sz="0" w:space="0" w:color="auto"/>
                    <w:left w:val="none" w:sz="0" w:space="0" w:color="auto"/>
                    <w:bottom w:val="none" w:sz="0" w:space="0" w:color="auto"/>
                    <w:right w:val="none" w:sz="0" w:space="0" w:color="auto"/>
                  </w:divBdr>
                </w:div>
                <w:div w:id="1254625682">
                  <w:marLeft w:val="0"/>
                  <w:marRight w:val="0"/>
                  <w:marTop w:val="101"/>
                  <w:marBottom w:val="101"/>
                  <w:divBdr>
                    <w:top w:val="none" w:sz="0" w:space="0" w:color="auto"/>
                    <w:left w:val="none" w:sz="0" w:space="0" w:color="auto"/>
                    <w:bottom w:val="none" w:sz="0" w:space="0" w:color="auto"/>
                    <w:right w:val="none" w:sz="0" w:space="0" w:color="auto"/>
                  </w:divBdr>
                </w:div>
                <w:div w:id="443034721">
                  <w:marLeft w:val="1440"/>
                  <w:marRight w:val="0"/>
                  <w:marTop w:val="0"/>
                  <w:marBottom w:val="101"/>
                  <w:divBdr>
                    <w:top w:val="none" w:sz="0" w:space="0" w:color="auto"/>
                    <w:left w:val="none" w:sz="0" w:space="0" w:color="auto"/>
                    <w:bottom w:val="none" w:sz="0" w:space="0" w:color="auto"/>
                    <w:right w:val="none" w:sz="0" w:space="0" w:color="auto"/>
                  </w:divBdr>
                </w:div>
                <w:div w:id="750662984">
                  <w:marLeft w:val="1440"/>
                  <w:marRight w:val="0"/>
                  <w:marTop w:val="0"/>
                  <w:marBottom w:val="101"/>
                  <w:divBdr>
                    <w:top w:val="none" w:sz="0" w:space="0" w:color="auto"/>
                    <w:left w:val="none" w:sz="0" w:space="0" w:color="auto"/>
                    <w:bottom w:val="none" w:sz="0" w:space="0" w:color="auto"/>
                    <w:right w:val="none" w:sz="0" w:space="0" w:color="auto"/>
                  </w:divBdr>
                </w:div>
                <w:div w:id="860317980">
                  <w:marLeft w:val="1440"/>
                  <w:marRight w:val="0"/>
                  <w:marTop w:val="0"/>
                  <w:marBottom w:val="101"/>
                  <w:divBdr>
                    <w:top w:val="none" w:sz="0" w:space="0" w:color="auto"/>
                    <w:left w:val="none" w:sz="0" w:space="0" w:color="auto"/>
                    <w:bottom w:val="none" w:sz="0" w:space="0" w:color="auto"/>
                    <w:right w:val="none" w:sz="0" w:space="0" w:color="auto"/>
                  </w:divBdr>
                </w:div>
                <w:div w:id="71895480">
                  <w:marLeft w:val="1440"/>
                  <w:marRight w:val="0"/>
                  <w:marTop w:val="0"/>
                  <w:marBottom w:val="101"/>
                  <w:divBdr>
                    <w:top w:val="none" w:sz="0" w:space="0" w:color="auto"/>
                    <w:left w:val="none" w:sz="0" w:space="0" w:color="auto"/>
                    <w:bottom w:val="none" w:sz="0" w:space="0" w:color="auto"/>
                    <w:right w:val="none" w:sz="0" w:space="0" w:color="auto"/>
                  </w:divBdr>
                </w:div>
                <w:div w:id="1624455170">
                  <w:marLeft w:val="1440"/>
                  <w:marRight w:val="0"/>
                  <w:marTop w:val="0"/>
                  <w:marBottom w:val="101"/>
                  <w:divBdr>
                    <w:top w:val="none" w:sz="0" w:space="0" w:color="auto"/>
                    <w:left w:val="none" w:sz="0" w:space="0" w:color="auto"/>
                    <w:bottom w:val="none" w:sz="0" w:space="0" w:color="auto"/>
                    <w:right w:val="none" w:sz="0" w:space="0" w:color="auto"/>
                  </w:divBdr>
                </w:div>
                <w:div w:id="959800146">
                  <w:marLeft w:val="1440"/>
                  <w:marRight w:val="0"/>
                  <w:marTop w:val="0"/>
                  <w:marBottom w:val="101"/>
                  <w:divBdr>
                    <w:top w:val="none" w:sz="0" w:space="0" w:color="auto"/>
                    <w:left w:val="none" w:sz="0" w:space="0" w:color="auto"/>
                    <w:bottom w:val="none" w:sz="0" w:space="0" w:color="auto"/>
                    <w:right w:val="none" w:sz="0" w:space="0" w:color="auto"/>
                  </w:divBdr>
                </w:div>
                <w:div w:id="1593278082">
                  <w:marLeft w:val="1440"/>
                  <w:marRight w:val="0"/>
                  <w:marTop w:val="0"/>
                  <w:marBottom w:val="101"/>
                  <w:divBdr>
                    <w:top w:val="none" w:sz="0" w:space="0" w:color="auto"/>
                    <w:left w:val="none" w:sz="0" w:space="0" w:color="auto"/>
                    <w:bottom w:val="none" w:sz="0" w:space="0" w:color="auto"/>
                    <w:right w:val="none" w:sz="0" w:space="0" w:color="auto"/>
                  </w:divBdr>
                </w:div>
                <w:div w:id="2091535566">
                  <w:marLeft w:val="1440"/>
                  <w:marRight w:val="0"/>
                  <w:marTop w:val="0"/>
                  <w:marBottom w:val="101"/>
                  <w:divBdr>
                    <w:top w:val="none" w:sz="0" w:space="0" w:color="auto"/>
                    <w:left w:val="none" w:sz="0" w:space="0" w:color="auto"/>
                    <w:bottom w:val="none" w:sz="0" w:space="0" w:color="auto"/>
                    <w:right w:val="none" w:sz="0" w:space="0" w:color="auto"/>
                  </w:divBdr>
                </w:div>
                <w:div w:id="226456425">
                  <w:marLeft w:val="1440"/>
                  <w:marRight w:val="0"/>
                  <w:marTop w:val="0"/>
                  <w:marBottom w:val="101"/>
                  <w:divBdr>
                    <w:top w:val="none" w:sz="0" w:space="0" w:color="auto"/>
                    <w:left w:val="none" w:sz="0" w:space="0" w:color="auto"/>
                    <w:bottom w:val="none" w:sz="0" w:space="0" w:color="auto"/>
                    <w:right w:val="none" w:sz="0" w:space="0" w:color="auto"/>
                  </w:divBdr>
                </w:div>
                <w:div w:id="510418370">
                  <w:marLeft w:val="1440"/>
                  <w:marRight w:val="0"/>
                  <w:marTop w:val="0"/>
                  <w:marBottom w:val="101"/>
                  <w:divBdr>
                    <w:top w:val="none" w:sz="0" w:space="0" w:color="auto"/>
                    <w:left w:val="none" w:sz="0" w:space="0" w:color="auto"/>
                    <w:bottom w:val="none" w:sz="0" w:space="0" w:color="auto"/>
                    <w:right w:val="none" w:sz="0" w:space="0" w:color="auto"/>
                  </w:divBdr>
                </w:div>
                <w:div w:id="2123375361">
                  <w:marLeft w:val="1440"/>
                  <w:marRight w:val="0"/>
                  <w:marTop w:val="0"/>
                  <w:marBottom w:val="101"/>
                  <w:divBdr>
                    <w:top w:val="none" w:sz="0" w:space="0" w:color="auto"/>
                    <w:left w:val="none" w:sz="0" w:space="0" w:color="auto"/>
                    <w:bottom w:val="none" w:sz="0" w:space="0" w:color="auto"/>
                    <w:right w:val="none" w:sz="0" w:space="0" w:color="auto"/>
                  </w:divBdr>
                </w:div>
                <w:div w:id="2060156484">
                  <w:marLeft w:val="1440"/>
                  <w:marRight w:val="0"/>
                  <w:marTop w:val="0"/>
                  <w:marBottom w:val="101"/>
                  <w:divBdr>
                    <w:top w:val="none" w:sz="0" w:space="0" w:color="auto"/>
                    <w:left w:val="none" w:sz="0" w:space="0" w:color="auto"/>
                    <w:bottom w:val="none" w:sz="0" w:space="0" w:color="auto"/>
                    <w:right w:val="none" w:sz="0" w:space="0" w:color="auto"/>
                  </w:divBdr>
                </w:div>
                <w:div w:id="488325708">
                  <w:marLeft w:val="1440"/>
                  <w:marRight w:val="0"/>
                  <w:marTop w:val="0"/>
                  <w:marBottom w:val="101"/>
                  <w:divBdr>
                    <w:top w:val="none" w:sz="0" w:space="0" w:color="auto"/>
                    <w:left w:val="none" w:sz="0" w:space="0" w:color="auto"/>
                    <w:bottom w:val="none" w:sz="0" w:space="0" w:color="auto"/>
                    <w:right w:val="none" w:sz="0" w:space="0" w:color="auto"/>
                  </w:divBdr>
                </w:div>
                <w:div w:id="2050835651">
                  <w:marLeft w:val="0"/>
                  <w:marRight w:val="0"/>
                  <w:marTop w:val="0"/>
                  <w:marBottom w:val="101"/>
                  <w:divBdr>
                    <w:top w:val="none" w:sz="0" w:space="0" w:color="auto"/>
                    <w:left w:val="none" w:sz="0" w:space="0" w:color="auto"/>
                    <w:bottom w:val="none" w:sz="0" w:space="0" w:color="auto"/>
                    <w:right w:val="none" w:sz="0" w:space="0" w:color="auto"/>
                  </w:divBdr>
                </w:div>
                <w:div w:id="207303946">
                  <w:marLeft w:val="0"/>
                  <w:marRight w:val="0"/>
                  <w:marTop w:val="0"/>
                  <w:marBottom w:val="101"/>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56</Pages>
  <Words>50476</Words>
  <Characters>277618</Characters>
  <Application>Microsoft Office Word</Application>
  <DocSecurity>0</DocSecurity>
  <Lines>2313</Lines>
  <Paragraphs>654</Paragraphs>
  <ScaleCrop>false</ScaleCrop>
  <Company/>
  <LinksUpToDate>false</LinksUpToDate>
  <CharactersWithSpaces>327440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cho</dc:creator>
  <cp:lastModifiedBy>cho</cp:lastModifiedBy>
  <cp:revision>1</cp:revision>
  <dcterms:created xsi:type="dcterms:W3CDTF">2018-07-11T18:51:00Z</dcterms:created>
  <dcterms:modified xsi:type="dcterms:W3CDTF">2018-07-11T18:53:00Z</dcterms:modified>
</cp:coreProperties>
</file>