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170" w:type="dxa"/>
        <w:tblCellSpacing w:w="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565"/>
        <w:gridCol w:w="4920"/>
        <w:gridCol w:w="2565"/>
        <w:gridCol w:w="3120"/>
      </w:tblGrid>
      <w:tr w:rsidR="00462744" w:rsidRPr="00462744" w:rsidTr="00462744">
        <w:trPr>
          <w:tblCellSpacing w:w="0" w:type="dxa"/>
        </w:trPr>
        <w:tc>
          <w:tcPr>
            <w:tcW w:w="2565"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r w:rsidRPr="00462744">
              <w:rPr>
                <w:rFonts w:ascii="Times New Roman" w:eastAsia="Times New Roman" w:hAnsi="Times New Roman" w:cs="Times New Roman"/>
                <w:color w:val="000000"/>
                <w:sz w:val="24"/>
                <w:szCs w:val="24"/>
                <w:lang w:eastAsia="es-ES"/>
              </w:rPr>
              <w:t>Tesis: 2a</w:t>
            </w:r>
            <w:proofErr w:type="gramStart"/>
            <w:r w:rsidRPr="00462744">
              <w:rPr>
                <w:rFonts w:ascii="Times New Roman" w:eastAsia="Times New Roman" w:hAnsi="Times New Roman" w:cs="Times New Roman"/>
                <w:color w:val="000000"/>
                <w:sz w:val="24"/>
                <w:szCs w:val="24"/>
                <w:lang w:eastAsia="es-ES"/>
              </w:rPr>
              <w:t>./</w:t>
            </w:r>
            <w:proofErr w:type="gramEnd"/>
            <w:r w:rsidRPr="00462744">
              <w:rPr>
                <w:rFonts w:ascii="Times New Roman" w:eastAsia="Times New Roman" w:hAnsi="Times New Roman" w:cs="Times New Roman"/>
                <w:color w:val="000000"/>
                <w:sz w:val="24"/>
                <w:szCs w:val="24"/>
                <w:lang w:eastAsia="es-ES"/>
              </w:rPr>
              <w:t>J. 18/2018 (10a.)</w:t>
            </w:r>
          </w:p>
        </w:tc>
        <w:tc>
          <w:tcPr>
            <w:tcW w:w="0" w:type="auto"/>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r w:rsidRPr="00462744">
              <w:rPr>
                <w:rFonts w:ascii="Times New Roman" w:eastAsia="Times New Roman" w:hAnsi="Times New Roman" w:cs="Times New Roman"/>
                <w:color w:val="000000"/>
                <w:sz w:val="24"/>
                <w:szCs w:val="24"/>
                <w:lang w:eastAsia="es-ES"/>
              </w:rPr>
              <w:t>Semanario Judicial de la Federación</w:t>
            </w:r>
          </w:p>
        </w:tc>
        <w:tc>
          <w:tcPr>
            <w:tcW w:w="2565"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r w:rsidRPr="00462744">
              <w:rPr>
                <w:rFonts w:ascii="Times New Roman" w:eastAsia="Times New Roman" w:hAnsi="Times New Roman" w:cs="Times New Roman"/>
                <w:color w:val="000000"/>
                <w:sz w:val="24"/>
                <w:szCs w:val="24"/>
                <w:lang w:eastAsia="es-ES"/>
              </w:rPr>
              <w:t>Décima Época</w:t>
            </w:r>
          </w:p>
        </w:tc>
        <w:tc>
          <w:tcPr>
            <w:tcW w:w="2565"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r w:rsidRPr="00462744">
              <w:rPr>
                <w:rFonts w:ascii="Times New Roman" w:eastAsia="Times New Roman" w:hAnsi="Times New Roman" w:cs="Times New Roman"/>
                <w:color w:val="000000"/>
                <w:sz w:val="24"/>
                <w:szCs w:val="24"/>
                <w:lang w:eastAsia="es-ES"/>
              </w:rPr>
              <w:t>2016354</w:t>
            </w:r>
            <w:r w:rsidRPr="00462744">
              <w:rPr>
                <w:rFonts w:ascii="Times New Roman" w:eastAsia="Times New Roman" w:hAnsi="Times New Roman" w:cs="Times New Roman"/>
                <w:color w:val="444444"/>
                <w:sz w:val="24"/>
                <w:szCs w:val="24"/>
                <w:lang w:eastAsia="es-ES"/>
              </w:rPr>
              <w:t>        </w:t>
            </w:r>
            <w:r w:rsidRPr="00462744">
              <w:rPr>
                <w:rFonts w:ascii="Times New Roman" w:eastAsia="Times New Roman" w:hAnsi="Times New Roman" w:cs="Times New Roman"/>
                <w:color w:val="000000"/>
                <w:sz w:val="24"/>
                <w:szCs w:val="24"/>
                <w:lang w:eastAsia="es-ES"/>
              </w:rPr>
              <w:t>1 de 1</w:t>
            </w:r>
          </w:p>
        </w:tc>
      </w:tr>
      <w:tr w:rsidR="00462744" w:rsidRPr="00462744" w:rsidTr="00462744">
        <w:trPr>
          <w:tblCellSpacing w:w="0" w:type="dxa"/>
        </w:trPr>
        <w:tc>
          <w:tcPr>
            <w:tcW w:w="0" w:type="auto"/>
            <w:tcBorders>
              <w:top w:val="single" w:sz="6" w:space="0" w:color="A0A0A0"/>
              <w:left w:val="single" w:sz="6" w:space="0" w:color="A0A0A0"/>
              <w:bottom w:val="single" w:sz="6" w:space="0" w:color="A0A0A0"/>
              <w:right w:val="single" w:sz="6" w:space="0" w:color="A0A0A0"/>
            </w:tcBorders>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r w:rsidRPr="00462744">
              <w:rPr>
                <w:rFonts w:ascii="Times New Roman" w:eastAsia="Times New Roman" w:hAnsi="Times New Roman" w:cs="Times New Roman"/>
                <w:color w:val="444444"/>
                <w:sz w:val="24"/>
                <w:szCs w:val="24"/>
                <w:lang w:eastAsia="es-ES"/>
              </w:rPr>
              <w:t>Segunda Sala</w:t>
            </w: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r w:rsidRPr="00462744">
              <w:rPr>
                <w:rFonts w:ascii="Times New Roman" w:eastAsia="Times New Roman" w:hAnsi="Times New Roman" w:cs="Times New Roman"/>
                <w:color w:val="444444"/>
                <w:sz w:val="24"/>
                <w:szCs w:val="24"/>
                <w:lang w:eastAsia="es-ES"/>
              </w:rPr>
              <w:t>Publicación: viernes 09 de marzo de 2018 10:12 h</w:t>
            </w: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462744" w:rsidRPr="00462744" w:rsidRDefault="00462744" w:rsidP="00462744">
            <w:pPr>
              <w:spacing w:after="0" w:line="240" w:lineRule="auto"/>
              <w:rPr>
                <w:rFonts w:ascii="Times New Roman" w:eastAsia="Times New Roman" w:hAnsi="Times New Roman" w:cs="Times New Roman"/>
                <w:color w:val="444444"/>
                <w:sz w:val="24"/>
                <w:szCs w:val="24"/>
                <w:lang w:eastAsia="es-ES"/>
              </w:rPr>
            </w:pPr>
            <w:r w:rsidRPr="00462744">
              <w:rPr>
                <w:rFonts w:ascii="Times New Roman" w:eastAsia="Times New Roman" w:hAnsi="Times New Roman" w:cs="Times New Roman"/>
                <w:color w:val="444444"/>
                <w:sz w:val="24"/>
                <w:szCs w:val="24"/>
                <w:lang w:eastAsia="es-ES"/>
              </w:rPr>
              <w:t>Jurisprudencia (Administrativa)</w:t>
            </w:r>
          </w:p>
        </w:tc>
      </w:tr>
    </w:tbl>
    <w:p w:rsidR="00462744" w:rsidRPr="00462744" w:rsidRDefault="00462744" w:rsidP="00462744">
      <w:pPr>
        <w:spacing w:after="0" w:line="240" w:lineRule="auto"/>
        <w:rPr>
          <w:rFonts w:ascii="Calibri" w:eastAsia="Times New Roman" w:hAnsi="Calibri" w:cs="Times New Roman"/>
          <w:vanish/>
          <w:color w:val="000000"/>
          <w:sz w:val="26"/>
          <w:szCs w:val="26"/>
          <w:lang w:eastAsia="es-ES"/>
        </w:rPr>
      </w:pPr>
    </w:p>
    <w:tbl>
      <w:tblPr>
        <w:tblW w:w="13170" w:type="dxa"/>
        <w:tblCellSpacing w:w="0" w:type="dxa"/>
        <w:tblBorders>
          <w:top w:val="single" w:sz="2" w:space="0" w:color="FFFFFF"/>
          <w:left w:val="single" w:sz="2" w:space="0" w:color="FFFFFF"/>
          <w:bottom w:val="single" w:sz="2" w:space="0" w:color="FFFFFF"/>
          <w:right w:val="single" w:sz="2" w:space="0" w:color="FFFFFF"/>
        </w:tblBorders>
        <w:tblCellMar>
          <w:top w:w="15" w:type="dxa"/>
          <w:left w:w="15" w:type="dxa"/>
          <w:bottom w:w="15" w:type="dxa"/>
          <w:right w:w="15" w:type="dxa"/>
        </w:tblCellMar>
        <w:tblLook w:val="04A0"/>
      </w:tblPr>
      <w:tblGrid>
        <w:gridCol w:w="13170"/>
      </w:tblGrid>
      <w:tr w:rsidR="00462744" w:rsidRPr="00462744" w:rsidTr="00462744">
        <w:trPr>
          <w:tblCellSpacing w:w="0" w:type="dxa"/>
        </w:trPr>
        <w:tc>
          <w:tcPr>
            <w:tcW w:w="13140" w:type="dxa"/>
            <w:tcBorders>
              <w:top w:val="dotted" w:sz="2" w:space="0" w:color="D4D4D4"/>
              <w:left w:val="dotted" w:sz="2" w:space="0" w:color="D4D4D4"/>
              <w:bottom w:val="dotted" w:sz="2" w:space="0" w:color="D4D4D4"/>
              <w:right w:val="dotted" w:sz="2" w:space="0" w:color="D4D4D4"/>
            </w:tcBorders>
            <w:vAlign w:val="center"/>
            <w:hideMark/>
          </w:tcPr>
          <w:p w:rsidR="00462744" w:rsidRPr="00462744" w:rsidRDefault="00462744" w:rsidP="00462744">
            <w:pPr>
              <w:spacing w:after="0" w:line="240" w:lineRule="auto"/>
              <w:jc w:val="center"/>
              <w:rPr>
                <w:rFonts w:ascii="Times New Roman" w:eastAsia="Times New Roman" w:hAnsi="Times New Roman" w:cs="Times New Roman"/>
                <w:color w:val="444444"/>
                <w:sz w:val="24"/>
                <w:szCs w:val="24"/>
                <w:lang w:eastAsia="es-ES"/>
              </w:rPr>
            </w:pPr>
            <w:r>
              <w:rPr>
                <w:rFonts w:ascii="Times New Roman" w:eastAsia="Times New Roman" w:hAnsi="Times New Roman" w:cs="Times New Roman"/>
                <w:noProof/>
                <w:color w:val="444444"/>
                <w:sz w:val="24"/>
                <w:szCs w:val="24"/>
                <w:lang w:eastAsia="es-ES"/>
              </w:rPr>
              <w:drawing>
                <wp:inline distT="0" distB="0" distL="0" distR="0">
                  <wp:extent cx="314325" cy="314325"/>
                  <wp:effectExtent l="19050" t="0" r="9525" b="0"/>
                  <wp:docPr id="1" name="Imagen 1" descr="https://sjf.scjn.gob.mx/SJFSem/Image/Plegar/PlegaArri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jf.scjn.gob.mx/SJFSem/Image/Plegar/PlegaArriba.png"/>
                          <pic:cNvPicPr>
                            <a:picLocks noChangeAspect="1" noChangeArrowheads="1"/>
                          </pic:cNvPicPr>
                        </pic:nvPicPr>
                        <pic:blipFill>
                          <a:blip r:embed="rId4"/>
                          <a:srcRect/>
                          <a:stretch>
                            <a:fillRect/>
                          </a:stretch>
                        </pic:blipFill>
                        <pic:spPr bwMode="auto">
                          <a:xfrm>
                            <a:off x="0" y="0"/>
                            <a:ext cx="314325" cy="314325"/>
                          </a:xfrm>
                          <a:prstGeom prst="rect">
                            <a:avLst/>
                          </a:prstGeom>
                          <a:noFill/>
                          <a:ln w="9525">
                            <a:noFill/>
                            <a:miter lim="800000"/>
                            <a:headEnd/>
                            <a:tailEnd/>
                          </a:ln>
                        </pic:spPr>
                      </pic:pic>
                    </a:graphicData>
                  </a:graphic>
                </wp:inline>
              </w:drawing>
            </w:r>
          </w:p>
        </w:tc>
      </w:tr>
    </w:tbl>
    <w:p w:rsidR="00462744" w:rsidRPr="00462744" w:rsidRDefault="00462744" w:rsidP="00462744">
      <w:pPr>
        <w:spacing w:after="0" w:line="240" w:lineRule="auto"/>
        <w:jc w:val="both"/>
        <w:rPr>
          <w:rFonts w:ascii="Calibri" w:eastAsia="Times New Roman" w:hAnsi="Calibri" w:cs="Times New Roman"/>
          <w:b/>
          <w:bCs/>
          <w:color w:val="000000"/>
          <w:sz w:val="26"/>
          <w:szCs w:val="26"/>
          <w:lang w:eastAsia="es-ES"/>
        </w:rPr>
      </w:pPr>
      <w:r w:rsidRPr="00462744">
        <w:rPr>
          <w:rFonts w:ascii="Calibri" w:eastAsia="Times New Roman" w:hAnsi="Calibri" w:cs="Times New Roman"/>
          <w:b/>
          <w:bCs/>
          <w:color w:val="000000"/>
          <w:sz w:val="26"/>
          <w:szCs w:val="26"/>
          <w:lang w:eastAsia="es-ES"/>
        </w:rPr>
        <w:t>RÉGIMEN DE INCORPORACIÓN FISCAL. CONFORME AL ARTÍCULO 111 DE LA LEY DEL IMPUESTO SOBRE LA RENTA VIGENTE A PARTIR DEL 1 DE ENERO DE 2014, ESTÁN EXCLUIDOS DE SU APLICACIÓN LOS CONTRIBUYENTES QUE HASTA ANTES DE SU VIGENCIA TRIBUTABAN CONFORME AL RÉGIMEN GENERAL DE PERSONAS FÍSICAS CON ACTIVIDADES EMPRESARIALES Y PROFESIONALES.</w:t>
      </w:r>
    </w:p>
    <w:p w:rsidR="00462744" w:rsidRPr="00462744" w:rsidRDefault="00462744" w:rsidP="00462744">
      <w:pPr>
        <w:spacing w:after="260" w:line="240" w:lineRule="auto"/>
        <w:rPr>
          <w:rFonts w:ascii="Calibri" w:eastAsia="Times New Roman" w:hAnsi="Calibri" w:cs="Times New Roman"/>
          <w:color w:val="000000"/>
          <w:sz w:val="26"/>
          <w:szCs w:val="26"/>
          <w:lang w:eastAsia="es-ES"/>
        </w:rPr>
      </w:pPr>
    </w:p>
    <w:p w:rsidR="00462744" w:rsidRPr="00462744" w:rsidRDefault="00462744" w:rsidP="00462744">
      <w:pPr>
        <w:spacing w:after="0" w:line="240" w:lineRule="auto"/>
        <w:jc w:val="both"/>
        <w:rPr>
          <w:rFonts w:ascii="Calibri" w:eastAsia="Times New Roman" w:hAnsi="Calibri" w:cs="Times New Roman"/>
          <w:color w:val="000000"/>
          <w:sz w:val="26"/>
          <w:szCs w:val="26"/>
          <w:lang w:eastAsia="es-ES"/>
        </w:rPr>
      </w:pPr>
      <w:r w:rsidRPr="00462744">
        <w:rPr>
          <w:rFonts w:ascii="Calibri" w:eastAsia="Times New Roman" w:hAnsi="Calibri" w:cs="Times New Roman"/>
          <w:color w:val="000000"/>
          <w:sz w:val="26"/>
          <w:szCs w:val="26"/>
          <w:lang w:eastAsia="es-ES"/>
        </w:rPr>
        <w:t>En atención a la exposición de motivos del decreto por el que se expidió dicha legislación, el régimen de incorporación fiscal tiene por finalidad, entre otras, erradicar la informalidad que deriva, muchas veces, de la facilidad o dificultad en el cumplimiento del pago de contribuciones, así como sustituir los regímenes fiscales intermedio y de pequeños contribuyentes aplicables a las personas físicas con actividades empresariales por uno transitorio denominado de incorporación fiscal, tendente a que los sujetos pasivos inicien el cumplimiento de sus obligaciones fiscales en un esquema que les permita hacerlo fácilmente y, una vez que estén preparados, muden al régimen general. Atendiendo a esa finalidad y, sobre todo, a la naturaleza transitoria del régimen fiscal en comento, es claro que están excluidos de su aplicación los contribuyentes que hasta antes de su entrada en vigor tributaban conforme al régimen general de las personas físicas con actividades empresariales y profesionales.</w:t>
      </w:r>
      <w:r w:rsidRPr="00462744">
        <w:rPr>
          <w:rFonts w:ascii="Calibri" w:eastAsia="Times New Roman" w:hAnsi="Calibri" w:cs="Times New Roman"/>
          <w:color w:val="000000"/>
          <w:sz w:val="26"/>
          <w:szCs w:val="26"/>
          <w:lang w:eastAsia="es-ES"/>
        </w:rPr>
        <w:br/>
      </w:r>
      <w:r w:rsidRPr="00462744">
        <w:rPr>
          <w:rFonts w:ascii="Calibri" w:eastAsia="Times New Roman" w:hAnsi="Calibri" w:cs="Times New Roman"/>
          <w:color w:val="000000"/>
          <w:sz w:val="26"/>
          <w:szCs w:val="26"/>
          <w:lang w:eastAsia="es-ES"/>
        </w:rPr>
        <w:br/>
        <w:t>SEGUNDA SALA</w:t>
      </w:r>
    </w:p>
    <w:p w:rsidR="00462744" w:rsidRPr="00462744" w:rsidRDefault="00462744" w:rsidP="00462744">
      <w:pPr>
        <w:spacing w:after="0" w:line="240" w:lineRule="auto"/>
        <w:rPr>
          <w:rFonts w:ascii="Calibri" w:eastAsia="Times New Roman" w:hAnsi="Calibri" w:cs="Times New Roman"/>
          <w:color w:val="000000"/>
          <w:sz w:val="26"/>
          <w:szCs w:val="26"/>
          <w:lang w:eastAsia="es-ES"/>
        </w:rPr>
      </w:pPr>
    </w:p>
    <w:p w:rsidR="00462744" w:rsidRPr="00462744" w:rsidRDefault="00462744" w:rsidP="00462744">
      <w:pPr>
        <w:spacing w:after="0" w:line="240" w:lineRule="auto"/>
        <w:jc w:val="both"/>
        <w:rPr>
          <w:rFonts w:ascii="Calibri" w:eastAsia="Times New Roman" w:hAnsi="Calibri" w:cs="Times New Roman"/>
          <w:color w:val="444444"/>
          <w:sz w:val="26"/>
          <w:szCs w:val="26"/>
          <w:lang w:eastAsia="es-ES"/>
        </w:rPr>
      </w:pPr>
      <w:r w:rsidRPr="00462744">
        <w:rPr>
          <w:rFonts w:ascii="Calibri" w:eastAsia="Times New Roman" w:hAnsi="Calibri" w:cs="Times New Roman"/>
          <w:color w:val="444444"/>
          <w:sz w:val="26"/>
          <w:szCs w:val="26"/>
          <w:lang w:eastAsia="es-ES"/>
        </w:rPr>
        <w:t xml:space="preserve">Contradicción de tesis 273/2017. Entre las sustentadas por los Tribunales Colegiados en Materias Civil y Administrativa del Décimo Tercer Circuito, Cuarto en Materia Administrativa del Tercer Circuito, Primero en Materias Administrativa y Civil del Décimo Noveno Circuito y Décimo Tercero en Materia Administrativa del Primer Circuito. 31 de enero de 2018. Mayoría de cuatro votos de los Ministros Alberto Pérez </w:t>
      </w:r>
      <w:proofErr w:type="spellStart"/>
      <w:r w:rsidRPr="00462744">
        <w:rPr>
          <w:rFonts w:ascii="Calibri" w:eastAsia="Times New Roman" w:hAnsi="Calibri" w:cs="Times New Roman"/>
          <w:color w:val="444444"/>
          <w:sz w:val="26"/>
          <w:szCs w:val="26"/>
          <w:lang w:eastAsia="es-ES"/>
        </w:rPr>
        <w:t>Dayán</w:t>
      </w:r>
      <w:proofErr w:type="spellEnd"/>
      <w:r w:rsidRPr="00462744">
        <w:rPr>
          <w:rFonts w:ascii="Calibri" w:eastAsia="Times New Roman" w:hAnsi="Calibri" w:cs="Times New Roman"/>
          <w:color w:val="444444"/>
          <w:sz w:val="26"/>
          <w:szCs w:val="26"/>
          <w:lang w:eastAsia="es-ES"/>
        </w:rPr>
        <w:t xml:space="preserve">, Javier </w:t>
      </w:r>
      <w:proofErr w:type="spellStart"/>
      <w:r w:rsidRPr="00462744">
        <w:rPr>
          <w:rFonts w:ascii="Calibri" w:eastAsia="Times New Roman" w:hAnsi="Calibri" w:cs="Times New Roman"/>
          <w:color w:val="444444"/>
          <w:sz w:val="26"/>
          <w:szCs w:val="26"/>
          <w:lang w:eastAsia="es-ES"/>
        </w:rPr>
        <w:t>Laynez</w:t>
      </w:r>
      <w:proofErr w:type="spellEnd"/>
      <w:r w:rsidRPr="00462744">
        <w:rPr>
          <w:rFonts w:ascii="Calibri" w:eastAsia="Times New Roman" w:hAnsi="Calibri" w:cs="Times New Roman"/>
          <w:color w:val="444444"/>
          <w:sz w:val="26"/>
          <w:szCs w:val="26"/>
          <w:lang w:eastAsia="es-ES"/>
        </w:rPr>
        <w:t xml:space="preserve"> </w:t>
      </w:r>
      <w:proofErr w:type="spellStart"/>
      <w:r w:rsidRPr="00462744">
        <w:rPr>
          <w:rFonts w:ascii="Calibri" w:eastAsia="Times New Roman" w:hAnsi="Calibri" w:cs="Times New Roman"/>
          <w:color w:val="444444"/>
          <w:sz w:val="26"/>
          <w:szCs w:val="26"/>
          <w:lang w:eastAsia="es-ES"/>
        </w:rPr>
        <w:t>Potisek</w:t>
      </w:r>
      <w:proofErr w:type="spellEnd"/>
      <w:r w:rsidRPr="00462744">
        <w:rPr>
          <w:rFonts w:ascii="Calibri" w:eastAsia="Times New Roman" w:hAnsi="Calibri" w:cs="Times New Roman"/>
          <w:color w:val="444444"/>
          <w:sz w:val="26"/>
          <w:szCs w:val="26"/>
          <w:lang w:eastAsia="es-ES"/>
        </w:rPr>
        <w:t xml:space="preserve">, José Fernando Franco González Salas y Eduardo Medina Mora I. Disidente: Margarita Beatriz Luna Ramos. Ponente: Javier </w:t>
      </w:r>
      <w:proofErr w:type="spellStart"/>
      <w:r w:rsidRPr="00462744">
        <w:rPr>
          <w:rFonts w:ascii="Calibri" w:eastAsia="Times New Roman" w:hAnsi="Calibri" w:cs="Times New Roman"/>
          <w:color w:val="444444"/>
          <w:sz w:val="26"/>
          <w:szCs w:val="26"/>
          <w:lang w:eastAsia="es-ES"/>
        </w:rPr>
        <w:t>Laynez</w:t>
      </w:r>
      <w:proofErr w:type="spellEnd"/>
      <w:r w:rsidRPr="00462744">
        <w:rPr>
          <w:rFonts w:ascii="Calibri" w:eastAsia="Times New Roman" w:hAnsi="Calibri" w:cs="Times New Roman"/>
          <w:color w:val="444444"/>
          <w:sz w:val="26"/>
          <w:szCs w:val="26"/>
          <w:lang w:eastAsia="es-ES"/>
        </w:rPr>
        <w:t xml:space="preserve"> </w:t>
      </w:r>
      <w:proofErr w:type="spellStart"/>
      <w:r w:rsidRPr="00462744">
        <w:rPr>
          <w:rFonts w:ascii="Calibri" w:eastAsia="Times New Roman" w:hAnsi="Calibri" w:cs="Times New Roman"/>
          <w:color w:val="444444"/>
          <w:sz w:val="26"/>
          <w:szCs w:val="26"/>
          <w:lang w:eastAsia="es-ES"/>
        </w:rPr>
        <w:t>Potisek</w:t>
      </w:r>
      <w:proofErr w:type="spellEnd"/>
      <w:r w:rsidRPr="00462744">
        <w:rPr>
          <w:rFonts w:ascii="Calibri" w:eastAsia="Times New Roman" w:hAnsi="Calibri" w:cs="Times New Roman"/>
          <w:color w:val="444444"/>
          <w:sz w:val="26"/>
          <w:szCs w:val="26"/>
          <w:lang w:eastAsia="es-ES"/>
        </w:rPr>
        <w:t>. Secretaria: Gabriela Guadalupe Flores de Quevedo.</w:t>
      </w:r>
    </w:p>
    <w:p w:rsidR="00462744" w:rsidRPr="00462744" w:rsidRDefault="00462744" w:rsidP="00462744">
      <w:pPr>
        <w:spacing w:after="0" w:line="240" w:lineRule="auto"/>
        <w:jc w:val="both"/>
        <w:rPr>
          <w:rFonts w:ascii="Calibri" w:eastAsia="Times New Roman" w:hAnsi="Calibri" w:cs="Times New Roman"/>
          <w:color w:val="444444"/>
          <w:sz w:val="26"/>
          <w:szCs w:val="26"/>
          <w:lang w:eastAsia="es-ES"/>
        </w:rPr>
      </w:pPr>
      <w:r w:rsidRPr="00462744">
        <w:rPr>
          <w:rFonts w:ascii="Calibri" w:eastAsia="Times New Roman" w:hAnsi="Calibri" w:cs="Times New Roman"/>
          <w:color w:val="444444"/>
          <w:sz w:val="26"/>
          <w:szCs w:val="26"/>
          <w:lang w:eastAsia="es-ES"/>
        </w:rPr>
        <w:t>Criterios contendientes:</w:t>
      </w:r>
    </w:p>
    <w:p w:rsidR="00462744" w:rsidRPr="00462744" w:rsidRDefault="00462744" w:rsidP="00462744">
      <w:pPr>
        <w:spacing w:after="0" w:line="240" w:lineRule="auto"/>
        <w:jc w:val="both"/>
        <w:rPr>
          <w:rFonts w:ascii="Calibri" w:eastAsia="Times New Roman" w:hAnsi="Calibri" w:cs="Times New Roman"/>
          <w:color w:val="444444"/>
          <w:sz w:val="26"/>
          <w:szCs w:val="26"/>
          <w:lang w:eastAsia="es-ES"/>
        </w:rPr>
      </w:pPr>
      <w:r w:rsidRPr="00462744">
        <w:rPr>
          <w:rFonts w:ascii="Calibri" w:eastAsia="Times New Roman" w:hAnsi="Calibri" w:cs="Times New Roman"/>
          <w:color w:val="444444"/>
          <w:sz w:val="26"/>
          <w:szCs w:val="26"/>
          <w:lang w:eastAsia="es-ES"/>
        </w:rPr>
        <w:t xml:space="preserve">El sustentado por el Cuarto Tribunal Colegiado en Materia Administrativa del Tercer Circuito, al resolver el amparo directo 477/2016, el sustentado por el Tribunal Colegiado en Materias Civil y Administrativa del Décimo Tercer Circuito, al resolver el amparo directo 21/2016, el sustentado por el Primer Tribunal Colegiado en Materias Administrativa y Civil del Décimo Noveno Circuito, al </w:t>
      </w:r>
      <w:r w:rsidRPr="00462744">
        <w:rPr>
          <w:rFonts w:ascii="Calibri" w:eastAsia="Times New Roman" w:hAnsi="Calibri" w:cs="Times New Roman"/>
          <w:color w:val="444444"/>
          <w:sz w:val="26"/>
          <w:szCs w:val="26"/>
          <w:lang w:eastAsia="es-ES"/>
        </w:rPr>
        <w:lastRenderedPageBreak/>
        <w:t>resolver el amparo directo 527/2016, y el diverso sustentado por el Décimo Tercer Tribunal Colegiado en Materia Administrativa del Primer Circuito, al resolver la revisión fiscal 147/2016.</w:t>
      </w:r>
    </w:p>
    <w:p w:rsidR="00462744" w:rsidRPr="00462744" w:rsidRDefault="00462744" w:rsidP="00462744">
      <w:pPr>
        <w:spacing w:after="0" w:line="240" w:lineRule="auto"/>
        <w:jc w:val="both"/>
        <w:rPr>
          <w:rFonts w:ascii="Calibri" w:eastAsia="Times New Roman" w:hAnsi="Calibri" w:cs="Times New Roman"/>
          <w:color w:val="444444"/>
          <w:sz w:val="26"/>
          <w:szCs w:val="26"/>
          <w:lang w:eastAsia="es-ES"/>
        </w:rPr>
      </w:pPr>
      <w:r w:rsidRPr="00462744">
        <w:rPr>
          <w:rFonts w:ascii="Calibri" w:eastAsia="Times New Roman" w:hAnsi="Calibri" w:cs="Times New Roman"/>
          <w:color w:val="444444"/>
          <w:sz w:val="26"/>
          <w:szCs w:val="26"/>
          <w:lang w:eastAsia="es-ES"/>
        </w:rPr>
        <w:t>Tesis de jurisprudencia 18/2018 (10a.). Aprobada por la Segunda Sala de este Alto Tribunal, en sesión privada del catorce de febrero de dos mil dieciocho.</w:t>
      </w:r>
    </w:p>
    <w:p w:rsidR="00462744" w:rsidRPr="00462744" w:rsidRDefault="00462744" w:rsidP="00462744">
      <w:pPr>
        <w:spacing w:after="0" w:line="240" w:lineRule="auto"/>
        <w:rPr>
          <w:rFonts w:ascii="Calibri" w:eastAsia="Times New Roman" w:hAnsi="Calibri" w:cs="Times New Roman"/>
          <w:color w:val="000000"/>
          <w:sz w:val="26"/>
          <w:szCs w:val="26"/>
          <w:lang w:eastAsia="es-ES"/>
        </w:rPr>
      </w:pPr>
      <w:r w:rsidRPr="00462744">
        <w:rPr>
          <w:rFonts w:ascii="Calibri" w:eastAsia="Times New Roman" w:hAnsi="Calibri" w:cs="Times New Roman"/>
          <w:color w:val="000000"/>
          <w:sz w:val="26"/>
          <w:szCs w:val="26"/>
          <w:lang w:eastAsia="es-ES"/>
        </w:rPr>
        <w:pict>
          <v:rect id="_x0000_i1025" style="width:0;height:1.5pt" o:hralign="center" o:hrstd="t" o:hr="t" fillcolor="#a0a0a0" stroked="f"/>
        </w:pict>
      </w:r>
    </w:p>
    <w:p w:rsidR="00462744" w:rsidRPr="00462744" w:rsidRDefault="00462744" w:rsidP="00462744">
      <w:pPr>
        <w:spacing w:after="0" w:line="240" w:lineRule="auto"/>
        <w:rPr>
          <w:rFonts w:ascii="Calibri" w:eastAsia="Times New Roman" w:hAnsi="Calibri" w:cs="Times New Roman"/>
          <w:color w:val="000000"/>
          <w:sz w:val="26"/>
          <w:szCs w:val="26"/>
          <w:lang w:eastAsia="es-ES"/>
        </w:rPr>
      </w:pPr>
      <w:r w:rsidRPr="00462744">
        <w:rPr>
          <w:rFonts w:ascii="Calibri" w:eastAsia="Times New Roman" w:hAnsi="Calibri" w:cs="Times New Roman"/>
          <w:color w:val="000000"/>
          <w:sz w:val="26"/>
          <w:szCs w:val="26"/>
          <w:lang w:eastAsia="es-ES"/>
        </w:rPr>
        <w:t>Ejecutorias</w:t>
      </w:r>
    </w:p>
    <w:p w:rsidR="00462744" w:rsidRPr="00462744" w:rsidRDefault="00462744" w:rsidP="00462744">
      <w:pPr>
        <w:spacing w:after="0" w:line="240" w:lineRule="auto"/>
        <w:rPr>
          <w:rFonts w:ascii="Calibri" w:eastAsia="Times New Roman" w:hAnsi="Calibri" w:cs="Times New Roman"/>
          <w:color w:val="000000"/>
          <w:sz w:val="26"/>
          <w:szCs w:val="26"/>
          <w:lang w:eastAsia="es-ES"/>
        </w:rPr>
      </w:pPr>
      <w:hyperlink r:id="rId5" w:tgtFrame="_popup" w:history="1">
        <w:r w:rsidRPr="00462744">
          <w:rPr>
            <w:rFonts w:ascii="Calibri" w:eastAsia="Times New Roman" w:hAnsi="Calibri" w:cs="Times New Roman"/>
            <w:color w:val="0000FF"/>
            <w:sz w:val="26"/>
            <w:u w:val="single"/>
            <w:lang w:eastAsia="es-ES"/>
          </w:rPr>
          <w:t>Contradicción de tesis 273/2017.</w:t>
        </w:r>
      </w:hyperlink>
    </w:p>
    <w:p w:rsidR="00462744" w:rsidRPr="00462744" w:rsidRDefault="00462744" w:rsidP="00462744">
      <w:pPr>
        <w:spacing w:after="0" w:line="240" w:lineRule="auto"/>
        <w:rPr>
          <w:rFonts w:ascii="Calibri" w:eastAsia="Times New Roman" w:hAnsi="Calibri" w:cs="Times New Roman"/>
          <w:color w:val="000000"/>
          <w:sz w:val="26"/>
          <w:szCs w:val="26"/>
          <w:lang w:eastAsia="es-ES"/>
        </w:rPr>
      </w:pPr>
    </w:p>
    <w:p w:rsidR="00462744" w:rsidRPr="00462744" w:rsidRDefault="00462744" w:rsidP="00462744">
      <w:pPr>
        <w:spacing w:after="0" w:line="240" w:lineRule="auto"/>
        <w:rPr>
          <w:rFonts w:ascii="Calibri" w:eastAsia="Times New Roman" w:hAnsi="Calibri" w:cs="Times New Roman"/>
          <w:color w:val="C50032"/>
          <w:sz w:val="26"/>
          <w:szCs w:val="26"/>
          <w:lang w:eastAsia="es-ES"/>
        </w:rPr>
      </w:pPr>
      <w:r w:rsidRPr="00462744">
        <w:rPr>
          <w:rFonts w:ascii="Calibri" w:eastAsia="Times New Roman" w:hAnsi="Calibri" w:cs="Times New Roman"/>
          <w:color w:val="C50032"/>
          <w:sz w:val="26"/>
          <w:szCs w:val="26"/>
          <w:lang w:eastAsia="es-ES"/>
        </w:rPr>
        <w:t>Esta tesis se publicó el viernes 09 de marzo de 2018 a las 10:12 horas en el Semanario Judicial de la Federación y, por ende, se considera de aplicación obligatoria a partir del lunes 12 de marzo de 2018, para los efectos previstos en el punto séptimo del Acuerdo General Plenario 19/2013.</w:t>
      </w:r>
    </w:p>
    <w:p w:rsidR="00E1130F" w:rsidRDefault="00E1130F"/>
    <w:sectPr w:rsidR="00E1130F"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62744"/>
    <w:rsid w:val="00462744"/>
    <w:rsid w:val="00713D68"/>
    <w:rsid w:val="00B86698"/>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lbl-encabezado-negro">
    <w:name w:val="lbl-encabezado-negro"/>
    <w:basedOn w:val="Fuentedeprrafopredeter"/>
    <w:rsid w:val="00462744"/>
  </w:style>
  <w:style w:type="paragraph" w:customStyle="1" w:styleId="francesa">
    <w:name w:val="francesa"/>
    <w:basedOn w:val="Normal"/>
    <w:rsid w:val="0046274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462744"/>
    <w:rPr>
      <w:color w:val="0000FF"/>
      <w:u w:val="single"/>
    </w:rPr>
  </w:style>
  <w:style w:type="paragraph" w:styleId="Textodeglobo">
    <w:name w:val="Balloon Text"/>
    <w:basedOn w:val="Normal"/>
    <w:link w:val="TextodegloboCar"/>
    <w:uiPriority w:val="99"/>
    <w:semiHidden/>
    <w:unhideWhenUsed/>
    <w:rsid w:val="004627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27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53978690">
      <w:bodyDiv w:val="1"/>
      <w:marLeft w:val="0"/>
      <w:marRight w:val="0"/>
      <w:marTop w:val="0"/>
      <w:marBottom w:val="0"/>
      <w:divBdr>
        <w:top w:val="none" w:sz="0" w:space="0" w:color="auto"/>
        <w:left w:val="none" w:sz="0" w:space="0" w:color="auto"/>
        <w:bottom w:val="none" w:sz="0" w:space="0" w:color="auto"/>
        <w:right w:val="none" w:sz="0" w:space="0" w:color="auto"/>
      </w:divBdr>
      <w:divsChild>
        <w:div w:id="576941116">
          <w:marLeft w:val="0"/>
          <w:marRight w:val="0"/>
          <w:marTop w:val="0"/>
          <w:marBottom w:val="0"/>
          <w:divBdr>
            <w:top w:val="none" w:sz="0" w:space="0" w:color="auto"/>
            <w:left w:val="none" w:sz="0" w:space="0" w:color="auto"/>
            <w:bottom w:val="none" w:sz="0" w:space="0" w:color="auto"/>
            <w:right w:val="none" w:sz="0" w:space="0" w:color="auto"/>
          </w:divBdr>
          <w:divsChild>
            <w:div w:id="1156411107">
              <w:marLeft w:val="0"/>
              <w:marRight w:val="0"/>
              <w:marTop w:val="0"/>
              <w:marBottom w:val="0"/>
              <w:divBdr>
                <w:top w:val="none" w:sz="0" w:space="0" w:color="auto"/>
                <w:left w:val="none" w:sz="0" w:space="0" w:color="auto"/>
                <w:bottom w:val="none" w:sz="0" w:space="0" w:color="auto"/>
                <w:right w:val="none" w:sz="0" w:space="0" w:color="auto"/>
              </w:divBdr>
              <w:divsChild>
                <w:div w:id="181548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321194">
          <w:marLeft w:val="0"/>
          <w:marRight w:val="0"/>
          <w:marTop w:val="0"/>
          <w:marBottom w:val="0"/>
          <w:divBdr>
            <w:top w:val="none" w:sz="0" w:space="0" w:color="auto"/>
            <w:left w:val="none" w:sz="0" w:space="0" w:color="auto"/>
            <w:bottom w:val="none" w:sz="0" w:space="0" w:color="auto"/>
            <w:right w:val="none" w:sz="0" w:space="0" w:color="auto"/>
          </w:divBdr>
          <w:divsChild>
            <w:div w:id="1561208950">
              <w:marLeft w:val="0"/>
              <w:marRight w:val="0"/>
              <w:marTop w:val="0"/>
              <w:marBottom w:val="0"/>
              <w:divBdr>
                <w:top w:val="none" w:sz="0" w:space="0" w:color="auto"/>
                <w:left w:val="none" w:sz="0" w:space="0" w:color="auto"/>
                <w:bottom w:val="none" w:sz="0" w:space="0" w:color="auto"/>
                <w:right w:val="none" w:sz="0" w:space="0" w:color="auto"/>
              </w:divBdr>
            </w:div>
            <w:div w:id="647981359">
              <w:marLeft w:val="0"/>
              <w:marRight w:val="0"/>
              <w:marTop w:val="0"/>
              <w:marBottom w:val="0"/>
              <w:divBdr>
                <w:top w:val="none" w:sz="0" w:space="0" w:color="auto"/>
                <w:left w:val="none" w:sz="0" w:space="0" w:color="auto"/>
                <w:bottom w:val="none" w:sz="0" w:space="0" w:color="auto"/>
                <w:right w:val="none" w:sz="0" w:space="0" w:color="auto"/>
              </w:divBdr>
              <w:divsChild>
                <w:div w:id="119580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515444">
          <w:marLeft w:val="0"/>
          <w:marRight w:val="0"/>
          <w:marTop w:val="0"/>
          <w:marBottom w:val="0"/>
          <w:divBdr>
            <w:top w:val="none" w:sz="0" w:space="0" w:color="auto"/>
            <w:left w:val="none" w:sz="0" w:space="0" w:color="auto"/>
            <w:bottom w:val="none" w:sz="0" w:space="0" w:color="auto"/>
            <w:right w:val="none" w:sz="0" w:space="0" w:color="auto"/>
          </w:divBdr>
          <w:divsChild>
            <w:div w:id="849762414">
              <w:marLeft w:val="0"/>
              <w:marRight w:val="0"/>
              <w:marTop w:val="0"/>
              <w:marBottom w:val="0"/>
              <w:divBdr>
                <w:top w:val="none" w:sz="0" w:space="0" w:color="auto"/>
                <w:left w:val="none" w:sz="0" w:space="0" w:color="auto"/>
                <w:bottom w:val="none" w:sz="0" w:space="0" w:color="auto"/>
                <w:right w:val="none" w:sz="0" w:space="0" w:color="auto"/>
              </w:divBdr>
              <w:divsChild>
                <w:div w:id="1870680925">
                  <w:marLeft w:val="0"/>
                  <w:marRight w:val="0"/>
                  <w:marTop w:val="0"/>
                  <w:marBottom w:val="0"/>
                  <w:divBdr>
                    <w:top w:val="none" w:sz="0" w:space="0" w:color="auto"/>
                    <w:left w:val="none" w:sz="0" w:space="0" w:color="auto"/>
                    <w:bottom w:val="single" w:sz="24" w:space="0" w:color="000000"/>
                    <w:right w:val="none" w:sz="0" w:space="0" w:color="auto"/>
                  </w:divBdr>
                </w:div>
                <w:div w:id="1015116846">
                  <w:marLeft w:val="0"/>
                  <w:marRight w:val="0"/>
                  <w:marTop w:val="0"/>
                  <w:marBottom w:val="0"/>
                  <w:divBdr>
                    <w:top w:val="none" w:sz="0" w:space="0" w:color="auto"/>
                    <w:left w:val="none" w:sz="0" w:space="0" w:color="auto"/>
                    <w:bottom w:val="none" w:sz="0" w:space="0" w:color="auto"/>
                    <w:right w:val="none" w:sz="0" w:space="0" w:color="auto"/>
                  </w:divBdr>
                </w:div>
              </w:divsChild>
            </w:div>
            <w:div w:id="4430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jf.scjn.gob.mx/SJFSem/Paginas/DetalleGeneralV2.aspx?id=27671&amp;Clase=DetalleTesisEjecutorias" TargetMode="Externa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522</Words>
  <Characters>2874</Characters>
  <Application>Microsoft Office Word</Application>
  <DocSecurity>0</DocSecurity>
  <Lines>23</Lines>
  <Paragraphs>6</Paragraphs>
  <ScaleCrop>false</ScaleCrop>
  <Company/>
  <LinksUpToDate>false</LinksUpToDate>
  <CharactersWithSpaces>3390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2018-03-10T16:41:00Z</dcterms:created>
  <dcterms:modified xsi:type="dcterms:W3CDTF">2018-03-10T16:43:00Z</dcterms:modified>
</cp:coreProperties>
</file>