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6CF" w:rsidRPr="005906CF" w:rsidRDefault="005906CF" w:rsidP="005906CF">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5906CF">
        <w:rPr>
          <w:rFonts w:ascii="Times New Roman" w:eastAsia="Times New Roman" w:hAnsi="Times New Roman" w:cs="Times New Roman"/>
          <w:b/>
          <w:bCs/>
          <w:kern w:val="36"/>
          <w:sz w:val="48"/>
          <w:szCs w:val="48"/>
          <w:lang w:eastAsia="es-ES"/>
        </w:rPr>
        <w:t>TEST DE PROPORCIONALIDAD DE LAS LEYES FISCALES. LA INTENSIDAD DE SU CONTROL CONSTITUCIONAL Y SU APLICACIÓN, REQUIEREN DE UN MÍNIMO DE JUSTIFICACIÓN DE LOS ELEMENTOS QUE LO CONFORMAN.</w:t>
      </w:r>
    </w:p>
    <w:p w:rsidR="005906CF" w:rsidRPr="005906CF" w:rsidRDefault="005906CF" w:rsidP="005906CF">
      <w:pPr>
        <w:spacing w:before="100" w:beforeAutospacing="1" w:after="100" w:afterAutospacing="1" w:line="240" w:lineRule="auto"/>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 </w:t>
      </w:r>
    </w:p>
    <w:tbl>
      <w:tblPr>
        <w:tblW w:w="11057" w:type="dxa"/>
        <w:tblCellSpacing w:w="0" w:type="dxa"/>
        <w:tblInd w:w="-1134" w:type="dxa"/>
        <w:tblCellMar>
          <w:top w:w="15" w:type="dxa"/>
          <w:left w:w="15" w:type="dxa"/>
          <w:bottom w:w="15" w:type="dxa"/>
          <w:right w:w="15" w:type="dxa"/>
        </w:tblCellMar>
        <w:tblLook w:val="04A0" w:firstRow="1" w:lastRow="0" w:firstColumn="1" w:lastColumn="0" w:noHBand="0" w:noVBand="1"/>
      </w:tblPr>
      <w:tblGrid>
        <w:gridCol w:w="3059"/>
        <w:gridCol w:w="3127"/>
        <w:gridCol w:w="1114"/>
        <w:gridCol w:w="3757"/>
      </w:tblGrid>
      <w:tr w:rsidR="005906CF" w:rsidRPr="005906CF" w:rsidTr="005906CF">
        <w:trPr>
          <w:tblCellSpacing w:w="0" w:type="dxa"/>
        </w:trPr>
        <w:tc>
          <w:tcPr>
            <w:tcW w:w="3059" w:type="dxa"/>
            <w:vAlign w:val="center"/>
            <w:hideMark/>
          </w:tcPr>
          <w:p w:rsidR="005906CF" w:rsidRPr="005906CF" w:rsidRDefault="005906CF" w:rsidP="005906CF">
            <w:pPr>
              <w:spacing w:after="0" w:line="240" w:lineRule="auto"/>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Tesis: 2a</w:t>
            </w:r>
            <w:proofErr w:type="gramStart"/>
            <w:r w:rsidRPr="005906CF">
              <w:rPr>
                <w:rFonts w:ascii="Times New Roman" w:eastAsia="Times New Roman" w:hAnsi="Times New Roman" w:cs="Times New Roman"/>
                <w:sz w:val="24"/>
                <w:szCs w:val="24"/>
                <w:lang w:eastAsia="es-ES"/>
              </w:rPr>
              <w:t>./</w:t>
            </w:r>
            <w:proofErr w:type="gramEnd"/>
            <w:r w:rsidRPr="005906CF">
              <w:rPr>
                <w:rFonts w:ascii="Times New Roman" w:eastAsia="Times New Roman" w:hAnsi="Times New Roman" w:cs="Times New Roman"/>
                <w:sz w:val="24"/>
                <w:szCs w:val="24"/>
                <w:lang w:eastAsia="es-ES"/>
              </w:rPr>
              <w:t>J. 11/2018 (10a.)</w:t>
            </w:r>
          </w:p>
        </w:tc>
        <w:tc>
          <w:tcPr>
            <w:tcW w:w="0" w:type="auto"/>
            <w:vAlign w:val="center"/>
            <w:hideMark/>
          </w:tcPr>
          <w:p w:rsidR="005906CF" w:rsidRPr="005906CF" w:rsidRDefault="005906CF" w:rsidP="005906CF">
            <w:pPr>
              <w:spacing w:after="0" w:line="240" w:lineRule="auto"/>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Semanario Judicial de la Federación</w:t>
            </w:r>
          </w:p>
        </w:tc>
        <w:tc>
          <w:tcPr>
            <w:tcW w:w="0" w:type="auto"/>
            <w:vAlign w:val="center"/>
            <w:hideMark/>
          </w:tcPr>
          <w:p w:rsidR="005906CF" w:rsidRPr="005906CF" w:rsidRDefault="005906CF" w:rsidP="005906CF">
            <w:pPr>
              <w:spacing w:after="0" w:line="240" w:lineRule="auto"/>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Décima Época</w:t>
            </w:r>
          </w:p>
        </w:tc>
        <w:tc>
          <w:tcPr>
            <w:tcW w:w="3757" w:type="dxa"/>
            <w:vAlign w:val="center"/>
            <w:hideMark/>
          </w:tcPr>
          <w:p w:rsidR="005906CF" w:rsidRPr="005906CF" w:rsidRDefault="005906CF" w:rsidP="005906CF">
            <w:pPr>
              <w:spacing w:after="0" w:line="240" w:lineRule="auto"/>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2016133        1 de 1</w:t>
            </w:r>
          </w:p>
        </w:tc>
      </w:tr>
      <w:tr w:rsidR="005906CF" w:rsidRPr="005906CF" w:rsidTr="005906CF">
        <w:trPr>
          <w:tblCellSpacing w:w="0" w:type="dxa"/>
        </w:trPr>
        <w:tc>
          <w:tcPr>
            <w:tcW w:w="3059" w:type="dxa"/>
            <w:vAlign w:val="center"/>
            <w:hideMark/>
          </w:tcPr>
          <w:p w:rsidR="005906CF" w:rsidRPr="005906CF" w:rsidRDefault="005906CF" w:rsidP="005906CF">
            <w:pPr>
              <w:spacing w:after="0" w:line="240" w:lineRule="auto"/>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Segunda Sala</w:t>
            </w:r>
          </w:p>
        </w:tc>
        <w:tc>
          <w:tcPr>
            <w:tcW w:w="0" w:type="auto"/>
            <w:vAlign w:val="center"/>
            <w:hideMark/>
          </w:tcPr>
          <w:p w:rsidR="005906CF" w:rsidRPr="005906CF" w:rsidRDefault="005906CF" w:rsidP="005906CF">
            <w:pPr>
              <w:spacing w:after="0" w:line="240" w:lineRule="auto"/>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Publicación: viernes 02 de febrero de 2018 10:04 h</w:t>
            </w:r>
          </w:p>
        </w:tc>
        <w:tc>
          <w:tcPr>
            <w:tcW w:w="0" w:type="auto"/>
            <w:vAlign w:val="center"/>
            <w:hideMark/>
          </w:tcPr>
          <w:p w:rsidR="005906CF" w:rsidRPr="005906CF" w:rsidRDefault="005906CF" w:rsidP="005906CF">
            <w:pPr>
              <w:spacing w:after="0" w:line="240" w:lineRule="auto"/>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 </w:t>
            </w:r>
          </w:p>
        </w:tc>
        <w:tc>
          <w:tcPr>
            <w:tcW w:w="3757" w:type="dxa"/>
            <w:vAlign w:val="center"/>
            <w:hideMark/>
          </w:tcPr>
          <w:p w:rsidR="005906CF" w:rsidRPr="005906CF" w:rsidRDefault="005906CF" w:rsidP="005906CF">
            <w:pPr>
              <w:spacing w:after="0" w:line="240" w:lineRule="auto"/>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Jurisprudencia (Constitucional)</w:t>
            </w:r>
          </w:p>
        </w:tc>
      </w:tr>
    </w:tbl>
    <w:p w:rsidR="005906CF" w:rsidRPr="005906CF" w:rsidRDefault="005906CF" w:rsidP="005906CF">
      <w:pPr>
        <w:spacing w:after="0" w:line="240" w:lineRule="auto"/>
        <w:rPr>
          <w:rFonts w:ascii="Times New Roman" w:eastAsia="Times New Roman" w:hAnsi="Times New Roman" w:cs="Times New Roman"/>
          <w:vanish/>
          <w:sz w:val="24"/>
          <w:szCs w:val="24"/>
          <w:lang w:eastAsia="es-ES"/>
        </w:rPr>
      </w:pPr>
    </w:p>
    <w:tbl>
      <w:tblPr>
        <w:tblW w:w="0" w:type="auto"/>
        <w:tblCellSpacing w:w="0" w:type="dxa"/>
        <w:tblInd w:w="-1134" w:type="dxa"/>
        <w:tblCellMar>
          <w:top w:w="15" w:type="dxa"/>
          <w:left w:w="15" w:type="dxa"/>
          <w:bottom w:w="15" w:type="dxa"/>
          <w:right w:w="15" w:type="dxa"/>
        </w:tblCellMar>
        <w:tblLook w:val="04A0" w:firstRow="1" w:lastRow="0" w:firstColumn="1" w:lastColumn="0" w:noHBand="0" w:noVBand="1"/>
      </w:tblPr>
      <w:tblGrid>
        <w:gridCol w:w="540"/>
      </w:tblGrid>
      <w:tr w:rsidR="005906CF" w:rsidRPr="005906CF" w:rsidTr="005906CF">
        <w:trPr>
          <w:trHeight w:val="261"/>
          <w:tblCellSpacing w:w="0" w:type="dxa"/>
        </w:trPr>
        <w:tc>
          <w:tcPr>
            <w:tcW w:w="61" w:type="dxa"/>
            <w:vAlign w:val="center"/>
            <w:hideMark/>
          </w:tcPr>
          <w:p w:rsidR="005906CF" w:rsidRPr="005906CF" w:rsidRDefault="005906CF" w:rsidP="005906CF">
            <w:pPr>
              <w:spacing w:after="0" w:line="240" w:lineRule="auto"/>
              <w:rPr>
                <w:rFonts w:ascii="Times New Roman" w:eastAsia="Times New Roman" w:hAnsi="Times New Roman" w:cs="Times New Roman"/>
                <w:sz w:val="24"/>
                <w:szCs w:val="24"/>
                <w:lang w:eastAsia="es-ES"/>
              </w:rPr>
            </w:pPr>
            <w:bookmarkStart w:id="0" w:name="_GoBack"/>
            <w:bookmarkEnd w:id="0"/>
            <w:r w:rsidRPr="005906CF">
              <w:rPr>
                <w:rFonts w:ascii="Times New Roman" w:eastAsia="Times New Roman" w:hAnsi="Times New Roman" w:cs="Times New Roman"/>
                <w:noProof/>
                <w:sz w:val="24"/>
                <w:szCs w:val="24"/>
                <w:lang w:eastAsia="es-ES"/>
              </w:rPr>
              <w:drawing>
                <wp:inline distT="0" distB="0" distL="0" distR="0">
                  <wp:extent cx="314325" cy="314325"/>
                  <wp:effectExtent l="0" t="0" r="9525" b="9525"/>
                  <wp:docPr id="1" name="Imagen 1" descr="https://sjf.scjn.gob.mx/SJFSem/Image/Plegar/PlegaArri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jf.scjn.gob.mx/SJFSem/Image/Plegar/PlegaArriba.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r>
    </w:tbl>
    <w:p w:rsidR="005906CF" w:rsidRPr="005906CF" w:rsidRDefault="005906CF" w:rsidP="005906CF">
      <w:pPr>
        <w:spacing w:after="0" w:line="240" w:lineRule="auto"/>
        <w:rPr>
          <w:rFonts w:ascii="Times New Roman" w:eastAsia="Times New Roman" w:hAnsi="Times New Roman" w:cs="Times New Roman"/>
          <w:sz w:val="24"/>
          <w:szCs w:val="24"/>
          <w:lang w:eastAsia="es-ES"/>
        </w:rPr>
      </w:pPr>
    </w:p>
    <w:p w:rsidR="005906CF" w:rsidRPr="005906CF" w:rsidRDefault="005906CF" w:rsidP="005906CF">
      <w:pPr>
        <w:spacing w:after="0" w:line="240" w:lineRule="auto"/>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TEST DE PROPORCIONALIDAD DE LAS LEYES FISCALES. LA INTENSIDAD DE SU CONTROL CONSTITUCIONAL Y SU APLICACIÓN, REQUIEREN DE UN MÍNIMO DE JUSTIFICACIÓN DE LOS ELEMENTOS QUE LO CONFORMAN.</w:t>
      </w:r>
    </w:p>
    <w:p w:rsidR="005906CF" w:rsidRPr="005906CF" w:rsidRDefault="005906CF" w:rsidP="005906CF">
      <w:pPr>
        <w:spacing w:after="240" w:line="240" w:lineRule="auto"/>
        <w:rPr>
          <w:rFonts w:ascii="Times New Roman" w:eastAsia="Times New Roman" w:hAnsi="Times New Roman" w:cs="Times New Roman"/>
          <w:sz w:val="24"/>
          <w:szCs w:val="24"/>
          <w:lang w:eastAsia="es-ES"/>
        </w:rPr>
      </w:pPr>
    </w:p>
    <w:p w:rsidR="005906CF" w:rsidRPr="005906CF" w:rsidRDefault="005906CF" w:rsidP="005906CF">
      <w:pPr>
        <w:spacing w:after="0" w:line="240" w:lineRule="auto"/>
        <w:jc w:val="both"/>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 xml:space="preserve">El test de proporcionalidad es un procedimiento interpretativo para resolver conflictos de normas fundamentales, apoyado en los principios de igualdad e interdicción de la arbitrariedad o exceso, previstos en los artículos 1o., 14 y 16 de la Constitución Política de los Estados Unidos Mexicanos, y que requiere llevar a cabo, en primer lugar, un juicio de igualdad mediante la equiparación de supuestos de hecho que permitan verificar si existe o no un trato injustificado; en segundo lugar, el principio de proporcionalidad se conforma de tres criterios relativos a que la distinción legislativa: a) persiga una finalidad objetiva y constitucionalmente válida; b) resulte adecuada o racional, de manera que constituya un medio apto para conducir al fin u objetivo perseguido, existiendo una relación de </w:t>
      </w:r>
      <w:proofErr w:type="spellStart"/>
      <w:r w:rsidRPr="005906CF">
        <w:rPr>
          <w:rFonts w:ascii="Times New Roman" w:eastAsia="Times New Roman" w:hAnsi="Times New Roman" w:cs="Times New Roman"/>
          <w:sz w:val="24"/>
          <w:szCs w:val="24"/>
          <w:lang w:eastAsia="es-ES"/>
        </w:rPr>
        <w:t>instrumentalidad</w:t>
      </w:r>
      <w:proofErr w:type="spellEnd"/>
      <w:r w:rsidRPr="005906CF">
        <w:rPr>
          <w:rFonts w:ascii="Times New Roman" w:eastAsia="Times New Roman" w:hAnsi="Times New Roman" w:cs="Times New Roman"/>
          <w:sz w:val="24"/>
          <w:szCs w:val="24"/>
          <w:lang w:eastAsia="es-ES"/>
        </w:rPr>
        <w:t xml:space="preserve"> medio-fin; y, c) sea proporcional. Ahora, en materia tributaria la intensidad del escrutinio constitucional es flexible o laxo, en razón de que el legislador cuenta con libertad configurativa del sistema tributario sustantivo y adjetivo, de modo que para no vulnerar su libertad política, en campos como el mencionado, las posibilidades de injerencia del Juez constitucional son menores y, por ende, la intensidad de su control se limita a verificar que la intervención legislativa persiga una finalidad objetiva y constitucionalmente válida; la elección del medio para cumplir esa finalidad no conlleva exigir al legislador que dentro de los medios disponibles justifique cuál de todos ellos cumple en todos los grados (cuantitativo, cualitativo y de probabilidad) o niveles de intensidad (eficacia, rapidez, plenitud y seguridad), sino únicamente </w:t>
      </w:r>
      <w:r w:rsidRPr="005906CF">
        <w:rPr>
          <w:rFonts w:ascii="Times New Roman" w:eastAsia="Times New Roman" w:hAnsi="Times New Roman" w:cs="Times New Roman"/>
          <w:sz w:val="24"/>
          <w:szCs w:val="24"/>
          <w:lang w:eastAsia="es-ES"/>
        </w:rPr>
        <w:lastRenderedPageBreak/>
        <w:t>determinar si el medio elegido es idóneo, exigiéndose un mínimo de idoneidad y que exista correspondencia proporcional mínima entre el medio elegido y el fin buscado que justifique la intervención legislativa diferenciada entre los sujetos comparables.</w:t>
      </w:r>
      <w:r w:rsidRPr="005906CF">
        <w:rPr>
          <w:rFonts w:ascii="Times New Roman" w:eastAsia="Times New Roman" w:hAnsi="Times New Roman" w:cs="Times New Roman"/>
          <w:sz w:val="24"/>
          <w:szCs w:val="24"/>
          <w:lang w:eastAsia="es-ES"/>
        </w:rPr>
        <w:br/>
      </w:r>
      <w:r w:rsidRPr="005906CF">
        <w:rPr>
          <w:rFonts w:ascii="Times New Roman" w:eastAsia="Times New Roman" w:hAnsi="Times New Roman" w:cs="Times New Roman"/>
          <w:sz w:val="24"/>
          <w:szCs w:val="24"/>
          <w:lang w:eastAsia="es-ES"/>
        </w:rPr>
        <w:br/>
        <w:t>SEGUNDA SALA</w:t>
      </w:r>
    </w:p>
    <w:p w:rsidR="005906CF" w:rsidRPr="005906CF" w:rsidRDefault="005906CF" w:rsidP="005906CF">
      <w:pPr>
        <w:spacing w:after="0" w:line="240" w:lineRule="auto"/>
        <w:jc w:val="both"/>
        <w:rPr>
          <w:rFonts w:ascii="Times New Roman" w:eastAsia="Times New Roman" w:hAnsi="Times New Roman" w:cs="Times New Roman"/>
          <w:sz w:val="24"/>
          <w:szCs w:val="24"/>
          <w:lang w:eastAsia="es-ES"/>
        </w:rPr>
      </w:pPr>
    </w:p>
    <w:p w:rsidR="005906CF" w:rsidRPr="005906CF" w:rsidRDefault="005906CF" w:rsidP="005906C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 xml:space="preserve">Amparo en revisión 441/2015. Smart &amp; Final del Noroeste, S.A. de C.V. y otra. 5 de octubre de 2016. Cinco votos de los Ministros Eduardo Medina Mora I., Javier </w:t>
      </w:r>
      <w:proofErr w:type="spellStart"/>
      <w:r w:rsidRPr="005906CF">
        <w:rPr>
          <w:rFonts w:ascii="Times New Roman" w:eastAsia="Times New Roman" w:hAnsi="Times New Roman" w:cs="Times New Roman"/>
          <w:sz w:val="24"/>
          <w:szCs w:val="24"/>
          <w:lang w:eastAsia="es-ES"/>
        </w:rPr>
        <w:t>Laynez</w:t>
      </w:r>
      <w:proofErr w:type="spellEnd"/>
      <w:r w:rsidRPr="005906CF">
        <w:rPr>
          <w:rFonts w:ascii="Times New Roman" w:eastAsia="Times New Roman" w:hAnsi="Times New Roman" w:cs="Times New Roman"/>
          <w:sz w:val="24"/>
          <w:szCs w:val="24"/>
          <w:lang w:eastAsia="es-ES"/>
        </w:rPr>
        <w:t xml:space="preserve"> </w:t>
      </w:r>
      <w:proofErr w:type="spellStart"/>
      <w:r w:rsidRPr="005906CF">
        <w:rPr>
          <w:rFonts w:ascii="Times New Roman" w:eastAsia="Times New Roman" w:hAnsi="Times New Roman" w:cs="Times New Roman"/>
          <w:sz w:val="24"/>
          <w:szCs w:val="24"/>
          <w:lang w:eastAsia="es-ES"/>
        </w:rPr>
        <w:t>Potisek</w:t>
      </w:r>
      <w:proofErr w:type="spellEnd"/>
      <w:r w:rsidRPr="005906CF">
        <w:rPr>
          <w:rFonts w:ascii="Times New Roman" w:eastAsia="Times New Roman" w:hAnsi="Times New Roman" w:cs="Times New Roman"/>
          <w:sz w:val="24"/>
          <w:szCs w:val="24"/>
          <w:lang w:eastAsia="es-ES"/>
        </w:rPr>
        <w:t xml:space="preserve">, José Fernando Franco González Salas, Margarita Beatriz Luna Ramos y Alberto Pérez </w:t>
      </w:r>
      <w:proofErr w:type="spellStart"/>
      <w:r w:rsidRPr="005906CF">
        <w:rPr>
          <w:rFonts w:ascii="Times New Roman" w:eastAsia="Times New Roman" w:hAnsi="Times New Roman" w:cs="Times New Roman"/>
          <w:sz w:val="24"/>
          <w:szCs w:val="24"/>
          <w:lang w:eastAsia="es-ES"/>
        </w:rPr>
        <w:t>Dayán</w:t>
      </w:r>
      <w:proofErr w:type="spellEnd"/>
      <w:r w:rsidRPr="005906CF">
        <w:rPr>
          <w:rFonts w:ascii="Times New Roman" w:eastAsia="Times New Roman" w:hAnsi="Times New Roman" w:cs="Times New Roman"/>
          <w:sz w:val="24"/>
          <w:szCs w:val="24"/>
          <w:lang w:eastAsia="es-ES"/>
        </w:rPr>
        <w:t xml:space="preserve">; votó en contra de consideraciones Margarita Beatriz Luna Ramos. Ponente: Javier </w:t>
      </w:r>
      <w:proofErr w:type="spellStart"/>
      <w:r w:rsidRPr="005906CF">
        <w:rPr>
          <w:rFonts w:ascii="Times New Roman" w:eastAsia="Times New Roman" w:hAnsi="Times New Roman" w:cs="Times New Roman"/>
          <w:sz w:val="24"/>
          <w:szCs w:val="24"/>
          <w:lang w:eastAsia="es-ES"/>
        </w:rPr>
        <w:t>Laynez</w:t>
      </w:r>
      <w:proofErr w:type="spellEnd"/>
      <w:r w:rsidRPr="005906CF">
        <w:rPr>
          <w:rFonts w:ascii="Times New Roman" w:eastAsia="Times New Roman" w:hAnsi="Times New Roman" w:cs="Times New Roman"/>
          <w:sz w:val="24"/>
          <w:szCs w:val="24"/>
          <w:lang w:eastAsia="es-ES"/>
        </w:rPr>
        <w:t xml:space="preserve"> </w:t>
      </w:r>
      <w:proofErr w:type="spellStart"/>
      <w:r w:rsidRPr="005906CF">
        <w:rPr>
          <w:rFonts w:ascii="Times New Roman" w:eastAsia="Times New Roman" w:hAnsi="Times New Roman" w:cs="Times New Roman"/>
          <w:sz w:val="24"/>
          <w:szCs w:val="24"/>
          <w:lang w:eastAsia="es-ES"/>
        </w:rPr>
        <w:t>Potisek</w:t>
      </w:r>
      <w:proofErr w:type="spellEnd"/>
      <w:r w:rsidRPr="005906CF">
        <w:rPr>
          <w:rFonts w:ascii="Times New Roman" w:eastAsia="Times New Roman" w:hAnsi="Times New Roman" w:cs="Times New Roman"/>
          <w:sz w:val="24"/>
          <w:szCs w:val="24"/>
          <w:lang w:eastAsia="es-ES"/>
        </w:rPr>
        <w:t xml:space="preserve">. Secretario: Jorge Jiménez </w:t>
      </w:r>
      <w:proofErr w:type="spellStart"/>
      <w:r w:rsidRPr="005906CF">
        <w:rPr>
          <w:rFonts w:ascii="Times New Roman" w:eastAsia="Times New Roman" w:hAnsi="Times New Roman" w:cs="Times New Roman"/>
          <w:sz w:val="24"/>
          <w:szCs w:val="24"/>
          <w:lang w:eastAsia="es-ES"/>
        </w:rPr>
        <w:t>Jiménez</w:t>
      </w:r>
      <w:proofErr w:type="spellEnd"/>
      <w:r w:rsidRPr="005906CF">
        <w:rPr>
          <w:rFonts w:ascii="Times New Roman" w:eastAsia="Times New Roman" w:hAnsi="Times New Roman" w:cs="Times New Roman"/>
          <w:sz w:val="24"/>
          <w:szCs w:val="24"/>
          <w:lang w:eastAsia="es-ES"/>
        </w:rPr>
        <w:t>.</w:t>
      </w:r>
    </w:p>
    <w:p w:rsidR="005906CF" w:rsidRPr="005906CF" w:rsidRDefault="005906CF" w:rsidP="005906C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 xml:space="preserve">Amparo en revisión 845/2015. Tiendas </w:t>
      </w:r>
      <w:proofErr w:type="spellStart"/>
      <w:r w:rsidRPr="005906CF">
        <w:rPr>
          <w:rFonts w:ascii="Times New Roman" w:eastAsia="Times New Roman" w:hAnsi="Times New Roman" w:cs="Times New Roman"/>
          <w:sz w:val="24"/>
          <w:szCs w:val="24"/>
          <w:lang w:eastAsia="es-ES"/>
        </w:rPr>
        <w:t>Aurrerá</w:t>
      </w:r>
      <w:proofErr w:type="spellEnd"/>
      <w:r w:rsidRPr="005906CF">
        <w:rPr>
          <w:rFonts w:ascii="Times New Roman" w:eastAsia="Times New Roman" w:hAnsi="Times New Roman" w:cs="Times New Roman"/>
          <w:sz w:val="24"/>
          <w:szCs w:val="24"/>
          <w:lang w:eastAsia="es-ES"/>
        </w:rPr>
        <w:t xml:space="preserve">, S. de R.L. de C.V. 5 de octubre de 2016. Cinco votos de los Ministros Eduardo Medina Mora I., Javier </w:t>
      </w:r>
      <w:proofErr w:type="spellStart"/>
      <w:r w:rsidRPr="005906CF">
        <w:rPr>
          <w:rFonts w:ascii="Times New Roman" w:eastAsia="Times New Roman" w:hAnsi="Times New Roman" w:cs="Times New Roman"/>
          <w:sz w:val="24"/>
          <w:szCs w:val="24"/>
          <w:lang w:eastAsia="es-ES"/>
        </w:rPr>
        <w:t>Laynez</w:t>
      </w:r>
      <w:proofErr w:type="spellEnd"/>
      <w:r w:rsidRPr="005906CF">
        <w:rPr>
          <w:rFonts w:ascii="Times New Roman" w:eastAsia="Times New Roman" w:hAnsi="Times New Roman" w:cs="Times New Roman"/>
          <w:sz w:val="24"/>
          <w:szCs w:val="24"/>
          <w:lang w:eastAsia="es-ES"/>
        </w:rPr>
        <w:t xml:space="preserve"> </w:t>
      </w:r>
      <w:proofErr w:type="spellStart"/>
      <w:r w:rsidRPr="005906CF">
        <w:rPr>
          <w:rFonts w:ascii="Times New Roman" w:eastAsia="Times New Roman" w:hAnsi="Times New Roman" w:cs="Times New Roman"/>
          <w:sz w:val="24"/>
          <w:szCs w:val="24"/>
          <w:lang w:eastAsia="es-ES"/>
        </w:rPr>
        <w:t>Potisek</w:t>
      </w:r>
      <w:proofErr w:type="spellEnd"/>
      <w:r w:rsidRPr="005906CF">
        <w:rPr>
          <w:rFonts w:ascii="Times New Roman" w:eastAsia="Times New Roman" w:hAnsi="Times New Roman" w:cs="Times New Roman"/>
          <w:sz w:val="24"/>
          <w:szCs w:val="24"/>
          <w:lang w:eastAsia="es-ES"/>
        </w:rPr>
        <w:t xml:space="preserve">, José Fernando Franco González Salas, Margarita Beatriz Luna Ramos y Alberto Pérez </w:t>
      </w:r>
      <w:proofErr w:type="spellStart"/>
      <w:r w:rsidRPr="005906CF">
        <w:rPr>
          <w:rFonts w:ascii="Times New Roman" w:eastAsia="Times New Roman" w:hAnsi="Times New Roman" w:cs="Times New Roman"/>
          <w:sz w:val="24"/>
          <w:szCs w:val="24"/>
          <w:lang w:eastAsia="es-ES"/>
        </w:rPr>
        <w:t>Dayán</w:t>
      </w:r>
      <w:proofErr w:type="spellEnd"/>
      <w:r w:rsidRPr="005906CF">
        <w:rPr>
          <w:rFonts w:ascii="Times New Roman" w:eastAsia="Times New Roman" w:hAnsi="Times New Roman" w:cs="Times New Roman"/>
          <w:sz w:val="24"/>
          <w:szCs w:val="24"/>
          <w:lang w:eastAsia="es-ES"/>
        </w:rPr>
        <w:t xml:space="preserve">; votó en contra de consideraciones Margarita Beatriz Luna Ramos. Ponente: Javier </w:t>
      </w:r>
      <w:proofErr w:type="spellStart"/>
      <w:r w:rsidRPr="005906CF">
        <w:rPr>
          <w:rFonts w:ascii="Times New Roman" w:eastAsia="Times New Roman" w:hAnsi="Times New Roman" w:cs="Times New Roman"/>
          <w:sz w:val="24"/>
          <w:szCs w:val="24"/>
          <w:lang w:eastAsia="es-ES"/>
        </w:rPr>
        <w:t>Laynez</w:t>
      </w:r>
      <w:proofErr w:type="spellEnd"/>
      <w:r w:rsidRPr="005906CF">
        <w:rPr>
          <w:rFonts w:ascii="Times New Roman" w:eastAsia="Times New Roman" w:hAnsi="Times New Roman" w:cs="Times New Roman"/>
          <w:sz w:val="24"/>
          <w:szCs w:val="24"/>
          <w:lang w:eastAsia="es-ES"/>
        </w:rPr>
        <w:t xml:space="preserve"> </w:t>
      </w:r>
      <w:proofErr w:type="spellStart"/>
      <w:r w:rsidRPr="005906CF">
        <w:rPr>
          <w:rFonts w:ascii="Times New Roman" w:eastAsia="Times New Roman" w:hAnsi="Times New Roman" w:cs="Times New Roman"/>
          <w:sz w:val="24"/>
          <w:szCs w:val="24"/>
          <w:lang w:eastAsia="es-ES"/>
        </w:rPr>
        <w:t>Potisek</w:t>
      </w:r>
      <w:proofErr w:type="spellEnd"/>
      <w:r w:rsidRPr="005906CF">
        <w:rPr>
          <w:rFonts w:ascii="Times New Roman" w:eastAsia="Times New Roman" w:hAnsi="Times New Roman" w:cs="Times New Roman"/>
          <w:sz w:val="24"/>
          <w:szCs w:val="24"/>
          <w:lang w:eastAsia="es-ES"/>
        </w:rPr>
        <w:t xml:space="preserve">. Secretario: Jorge Jiménez </w:t>
      </w:r>
      <w:proofErr w:type="spellStart"/>
      <w:r w:rsidRPr="005906CF">
        <w:rPr>
          <w:rFonts w:ascii="Times New Roman" w:eastAsia="Times New Roman" w:hAnsi="Times New Roman" w:cs="Times New Roman"/>
          <w:sz w:val="24"/>
          <w:szCs w:val="24"/>
          <w:lang w:eastAsia="es-ES"/>
        </w:rPr>
        <w:t>Jiménez</w:t>
      </w:r>
      <w:proofErr w:type="spellEnd"/>
      <w:r w:rsidRPr="005906CF">
        <w:rPr>
          <w:rFonts w:ascii="Times New Roman" w:eastAsia="Times New Roman" w:hAnsi="Times New Roman" w:cs="Times New Roman"/>
          <w:sz w:val="24"/>
          <w:szCs w:val="24"/>
          <w:lang w:eastAsia="es-ES"/>
        </w:rPr>
        <w:t>.</w:t>
      </w:r>
    </w:p>
    <w:p w:rsidR="005906CF" w:rsidRPr="005906CF" w:rsidRDefault="005906CF" w:rsidP="005906C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 xml:space="preserve">Amparo en revisión 876/2015. Desarrollo Comercial Abarrotero, S.A. de C.V. y otras. 25 de enero de 2017. Cinco votos de los Ministros Alberto Pérez </w:t>
      </w:r>
      <w:proofErr w:type="spellStart"/>
      <w:r w:rsidRPr="005906CF">
        <w:rPr>
          <w:rFonts w:ascii="Times New Roman" w:eastAsia="Times New Roman" w:hAnsi="Times New Roman" w:cs="Times New Roman"/>
          <w:sz w:val="24"/>
          <w:szCs w:val="24"/>
          <w:lang w:eastAsia="es-ES"/>
        </w:rPr>
        <w:t>Dayán</w:t>
      </w:r>
      <w:proofErr w:type="spellEnd"/>
      <w:r w:rsidRPr="005906CF">
        <w:rPr>
          <w:rFonts w:ascii="Times New Roman" w:eastAsia="Times New Roman" w:hAnsi="Times New Roman" w:cs="Times New Roman"/>
          <w:sz w:val="24"/>
          <w:szCs w:val="24"/>
          <w:lang w:eastAsia="es-ES"/>
        </w:rPr>
        <w:t xml:space="preserve">, Javier </w:t>
      </w:r>
      <w:proofErr w:type="spellStart"/>
      <w:r w:rsidRPr="005906CF">
        <w:rPr>
          <w:rFonts w:ascii="Times New Roman" w:eastAsia="Times New Roman" w:hAnsi="Times New Roman" w:cs="Times New Roman"/>
          <w:sz w:val="24"/>
          <w:szCs w:val="24"/>
          <w:lang w:eastAsia="es-ES"/>
        </w:rPr>
        <w:t>Laynez</w:t>
      </w:r>
      <w:proofErr w:type="spellEnd"/>
      <w:r w:rsidRPr="005906CF">
        <w:rPr>
          <w:rFonts w:ascii="Times New Roman" w:eastAsia="Times New Roman" w:hAnsi="Times New Roman" w:cs="Times New Roman"/>
          <w:sz w:val="24"/>
          <w:szCs w:val="24"/>
          <w:lang w:eastAsia="es-ES"/>
        </w:rPr>
        <w:t xml:space="preserve"> </w:t>
      </w:r>
      <w:proofErr w:type="spellStart"/>
      <w:r w:rsidRPr="005906CF">
        <w:rPr>
          <w:rFonts w:ascii="Times New Roman" w:eastAsia="Times New Roman" w:hAnsi="Times New Roman" w:cs="Times New Roman"/>
          <w:sz w:val="24"/>
          <w:szCs w:val="24"/>
          <w:lang w:eastAsia="es-ES"/>
        </w:rPr>
        <w:t>Potisek</w:t>
      </w:r>
      <w:proofErr w:type="spellEnd"/>
      <w:r w:rsidRPr="005906CF">
        <w:rPr>
          <w:rFonts w:ascii="Times New Roman" w:eastAsia="Times New Roman" w:hAnsi="Times New Roman" w:cs="Times New Roman"/>
          <w:sz w:val="24"/>
          <w:szCs w:val="24"/>
          <w:lang w:eastAsia="es-ES"/>
        </w:rPr>
        <w:t xml:space="preserve">, José Fernando Franco González Salas, Margarita Beatriz Luna Ramos y Eduardo Medina Mora I.; votó en contra de consideraciones Margarita Beatriz Luna Ramos. Ponente: Javier </w:t>
      </w:r>
      <w:proofErr w:type="spellStart"/>
      <w:r w:rsidRPr="005906CF">
        <w:rPr>
          <w:rFonts w:ascii="Times New Roman" w:eastAsia="Times New Roman" w:hAnsi="Times New Roman" w:cs="Times New Roman"/>
          <w:sz w:val="24"/>
          <w:szCs w:val="24"/>
          <w:lang w:eastAsia="es-ES"/>
        </w:rPr>
        <w:t>Laynez</w:t>
      </w:r>
      <w:proofErr w:type="spellEnd"/>
      <w:r w:rsidRPr="005906CF">
        <w:rPr>
          <w:rFonts w:ascii="Times New Roman" w:eastAsia="Times New Roman" w:hAnsi="Times New Roman" w:cs="Times New Roman"/>
          <w:sz w:val="24"/>
          <w:szCs w:val="24"/>
          <w:lang w:eastAsia="es-ES"/>
        </w:rPr>
        <w:t xml:space="preserve"> </w:t>
      </w:r>
      <w:proofErr w:type="spellStart"/>
      <w:r w:rsidRPr="005906CF">
        <w:rPr>
          <w:rFonts w:ascii="Times New Roman" w:eastAsia="Times New Roman" w:hAnsi="Times New Roman" w:cs="Times New Roman"/>
          <w:sz w:val="24"/>
          <w:szCs w:val="24"/>
          <w:lang w:eastAsia="es-ES"/>
        </w:rPr>
        <w:t>Potisek</w:t>
      </w:r>
      <w:proofErr w:type="spellEnd"/>
      <w:r w:rsidRPr="005906CF">
        <w:rPr>
          <w:rFonts w:ascii="Times New Roman" w:eastAsia="Times New Roman" w:hAnsi="Times New Roman" w:cs="Times New Roman"/>
          <w:sz w:val="24"/>
          <w:szCs w:val="24"/>
          <w:lang w:eastAsia="es-ES"/>
        </w:rPr>
        <w:t xml:space="preserve">. Secretario: Jorge Jiménez </w:t>
      </w:r>
      <w:proofErr w:type="spellStart"/>
      <w:r w:rsidRPr="005906CF">
        <w:rPr>
          <w:rFonts w:ascii="Times New Roman" w:eastAsia="Times New Roman" w:hAnsi="Times New Roman" w:cs="Times New Roman"/>
          <w:sz w:val="24"/>
          <w:szCs w:val="24"/>
          <w:lang w:eastAsia="es-ES"/>
        </w:rPr>
        <w:t>Jiménez</w:t>
      </w:r>
      <w:proofErr w:type="spellEnd"/>
      <w:r w:rsidRPr="005906CF">
        <w:rPr>
          <w:rFonts w:ascii="Times New Roman" w:eastAsia="Times New Roman" w:hAnsi="Times New Roman" w:cs="Times New Roman"/>
          <w:sz w:val="24"/>
          <w:szCs w:val="24"/>
          <w:lang w:eastAsia="es-ES"/>
        </w:rPr>
        <w:t>.</w:t>
      </w:r>
    </w:p>
    <w:p w:rsidR="005906CF" w:rsidRPr="005906CF" w:rsidRDefault="005906CF" w:rsidP="005906C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 xml:space="preserve">Amparo en revisión 631/2017. José Armando del Toro Larios. 15 de noviembre de 2017. Mayoría de cuatro votos de los Ministros Javier </w:t>
      </w:r>
      <w:proofErr w:type="spellStart"/>
      <w:r w:rsidRPr="005906CF">
        <w:rPr>
          <w:rFonts w:ascii="Times New Roman" w:eastAsia="Times New Roman" w:hAnsi="Times New Roman" w:cs="Times New Roman"/>
          <w:sz w:val="24"/>
          <w:szCs w:val="24"/>
          <w:lang w:eastAsia="es-ES"/>
        </w:rPr>
        <w:t>Laynez</w:t>
      </w:r>
      <w:proofErr w:type="spellEnd"/>
      <w:r w:rsidRPr="005906CF">
        <w:rPr>
          <w:rFonts w:ascii="Times New Roman" w:eastAsia="Times New Roman" w:hAnsi="Times New Roman" w:cs="Times New Roman"/>
          <w:sz w:val="24"/>
          <w:szCs w:val="24"/>
          <w:lang w:eastAsia="es-ES"/>
        </w:rPr>
        <w:t xml:space="preserve"> </w:t>
      </w:r>
      <w:proofErr w:type="spellStart"/>
      <w:r w:rsidRPr="005906CF">
        <w:rPr>
          <w:rFonts w:ascii="Times New Roman" w:eastAsia="Times New Roman" w:hAnsi="Times New Roman" w:cs="Times New Roman"/>
          <w:sz w:val="24"/>
          <w:szCs w:val="24"/>
          <w:lang w:eastAsia="es-ES"/>
        </w:rPr>
        <w:t>Potisek</w:t>
      </w:r>
      <w:proofErr w:type="spellEnd"/>
      <w:r w:rsidRPr="005906CF">
        <w:rPr>
          <w:rFonts w:ascii="Times New Roman" w:eastAsia="Times New Roman" w:hAnsi="Times New Roman" w:cs="Times New Roman"/>
          <w:sz w:val="24"/>
          <w:szCs w:val="24"/>
          <w:lang w:eastAsia="es-ES"/>
        </w:rPr>
        <w:t xml:space="preserve">, José Fernando Franco González Salas, Margarita Beatriz Luna Ramos y Eduardo Medina Mora I.; unanimidad de votos en relación con el criterio contenido en esta tesis; votó en contra de consideraciones Margarita Beatriz Luna Ramos. Disidente: Alberto Pérez </w:t>
      </w:r>
      <w:proofErr w:type="spellStart"/>
      <w:r w:rsidRPr="005906CF">
        <w:rPr>
          <w:rFonts w:ascii="Times New Roman" w:eastAsia="Times New Roman" w:hAnsi="Times New Roman" w:cs="Times New Roman"/>
          <w:sz w:val="24"/>
          <w:szCs w:val="24"/>
          <w:lang w:eastAsia="es-ES"/>
        </w:rPr>
        <w:t>Dayán</w:t>
      </w:r>
      <w:proofErr w:type="spellEnd"/>
      <w:r w:rsidRPr="005906CF">
        <w:rPr>
          <w:rFonts w:ascii="Times New Roman" w:eastAsia="Times New Roman" w:hAnsi="Times New Roman" w:cs="Times New Roman"/>
          <w:sz w:val="24"/>
          <w:szCs w:val="24"/>
          <w:lang w:eastAsia="es-ES"/>
        </w:rPr>
        <w:t>. Ponente: José Fernando Franco González Salas. Secretario: Joel Isaac Rangel Agüeros.</w:t>
      </w:r>
    </w:p>
    <w:p w:rsidR="005906CF" w:rsidRPr="005906CF" w:rsidRDefault="005906CF" w:rsidP="005906C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 xml:space="preserve">Amparo en revisión 514/2017. Peñafiel Bebidas, S.A. de C.V. y otra. 29 de noviembre de 2017. Mayoría de cuatro votos de los Ministros Alberto Pérez </w:t>
      </w:r>
      <w:proofErr w:type="spellStart"/>
      <w:r w:rsidRPr="005906CF">
        <w:rPr>
          <w:rFonts w:ascii="Times New Roman" w:eastAsia="Times New Roman" w:hAnsi="Times New Roman" w:cs="Times New Roman"/>
          <w:sz w:val="24"/>
          <w:szCs w:val="24"/>
          <w:lang w:eastAsia="es-ES"/>
        </w:rPr>
        <w:t>Dayán</w:t>
      </w:r>
      <w:proofErr w:type="spellEnd"/>
      <w:r w:rsidRPr="005906CF">
        <w:rPr>
          <w:rFonts w:ascii="Times New Roman" w:eastAsia="Times New Roman" w:hAnsi="Times New Roman" w:cs="Times New Roman"/>
          <w:sz w:val="24"/>
          <w:szCs w:val="24"/>
          <w:lang w:eastAsia="es-ES"/>
        </w:rPr>
        <w:t xml:space="preserve">, Javier </w:t>
      </w:r>
      <w:proofErr w:type="spellStart"/>
      <w:r w:rsidRPr="005906CF">
        <w:rPr>
          <w:rFonts w:ascii="Times New Roman" w:eastAsia="Times New Roman" w:hAnsi="Times New Roman" w:cs="Times New Roman"/>
          <w:sz w:val="24"/>
          <w:szCs w:val="24"/>
          <w:lang w:eastAsia="es-ES"/>
        </w:rPr>
        <w:t>Laynez</w:t>
      </w:r>
      <w:proofErr w:type="spellEnd"/>
      <w:r w:rsidRPr="005906CF">
        <w:rPr>
          <w:rFonts w:ascii="Times New Roman" w:eastAsia="Times New Roman" w:hAnsi="Times New Roman" w:cs="Times New Roman"/>
          <w:sz w:val="24"/>
          <w:szCs w:val="24"/>
          <w:lang w:eastAsia="es-ES"/>
        </w:rPr>
        <w:t xml:space="preserve"> </w:t>
      </w:r>
      <w:proofErr w:type="spellStart"/>
      <w:r w:rsidRPr="005906CF">
        <w:rPr>
          <w:rFonts w:ascii="Times New Roman" w:eastAsia="Times New Roman" w:hAnsi="Times New Roman" w:cs="Times New Roman"/>
          <w:sz w:val="24"/>
          <w:szCs w:val="24"/>
          <w:lang w:eastAsia="es-ES"/>
        </w:rPr>
        <w:t>Potisek</w:t>
      </w:r>
      <w:proofErr w:type="spellEnd"/>
      <w:r w:rsidRPr="005906CF">
        <w:rPr>
          <w:rFonts w:ascii="Times New Roman" w:eastAsia="Times New Roman" w:hAnsi="Times New Roman" w:cs="Times New Roman"/>
          <w:sz w:val="24"/>
          <w:szCs w:val="24"/>
          <w:lang w:eastAsia="es-ES"/>
        </w:rPr>
        <w:t>, José Fernando Franco González Salas y Eduardo Medina Mora I. Disidente: Margarita Beatriz Luna Ramos. Ponente: José Fernando Franco González Salas. Secretario: Joel Isaac Rangel Agüeros.</w:t>
      </w:r>
    </w:p>
    <w:p w:rsidR="005906CF" w:rsidRPr="005906CF" w:rsidRDefault="005906CF" w:rsidP="005906C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Tesis de jurisprudencia 11/2018 (10a.). Aprobada por la Segunda Sala de este Alto Tribunal, en sesión privada del veinticuatro de enero de dos mil dieciocho.</w:t>
      </w:r>
    </w:p>
    <w:p w:rsidR="005906CF" w:rsidRPr="005906CF" w:rsidRDefault="005906CF" w:rsidP="005906CF">
      <w:pPr>
        <w:spacing w:after="0" w:line="240" w:lineRule="auto"/>
        <w:jc w:val="both"/>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pict>
          <v:rect id="_x0000_i1025" style="width:0;height:1.5pt" o:hralign="center" o:hrstd="t" o:hr="t" fillcolor="#a0a0a0" stroked="f"/>
        </w:pict>
      </w:r>
    </w:p>
    <w:p w:rsidR="005906CF" w:rsidRPr="005906CF" w:rsidRDefault="005906CF" w:rsidP="005906CF">
      <w:pPr>
        <w:spacing w:after="0" w:line="240" w:lineRule="auto"/>
        <w:jc w:val="both"/>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 </w:t>
      </w:r>
    </w:p>
    <w:p w:rsidR="005906CF" w:rsidRPr="005906CF" w:rsidRDefault="005906CF" w:rsidP="005906CF">
      <w:pPr>
        <w:spacing w:after="0" w:line="240" w:lineRule="auto"/>
        <w:jc w:val="both"/>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 </w:t>
      </w:r>
    </w:p>
    <w:p w:rsidR="005906CF" w:rsidRPr="005906CF" w:rsidRDefault="005906CF" w:rsidP="005906CF">
      <w:pPr>
        <w:spacing w:after="0" w:line="240" w:lineRule="auto"/>
        <w:jc w:val="both"/>
        <w:rPr>
          <w:rFonts w:ascii="Times New Roman" w:eastAsia="Times New Roman" w:hAnsi="Times New Roman" w:cs="Times New Roman"/>
          <w:sz w:val="24"/>
          <w:szCs w:val="24"/>
          <w:lang w:eastAsia="es-ES"/>
        </w:rPr>
      </w:pPr>
    </w:p>
    <w:p w:rsidR="005906CF" w:rsidRPr="005906CF" w:rsidRDefault="005906CF" w:rsidP="005906CF">
      <w:pPr>
        <w:spacing w:after="0" w:line="240" w:lineRule="auto"/>
        <w:jc w:val="both"/>
        <w:rPr>
          <w:rFonts w:ascii="Times New Roman" w:eastAsia="Times New Roman" w:hAnsi="Times New Roman" w:cs="Times New Roman"/>
          <w:sz w:val="24"/>
          <w:szCs w:val="24"/>
          <w:lang w:eastAsia="es-ES"/>
        </w:rPr>
      </w:pPr>
      <w:r w:rsidRPr="005906CF">
        <w:rPr>
          <w:rFonts w:ascii="Times New Roman" w:eastAsia="Times New Roman" w:hAnsi="Times New Roman" w:cs="Times New Roman"/>
          <w:sz w:val="24"/>
          <w:szCs w:val="24"/>
          <w:lang w:eastAsia="es-ES"/>
        </w:rPr>
        <w:t>Esta tesis se publicó el viernes 02 de febrero de 2018 a las 10:04 horas en el Semanario Judicial de la Federación y, por ende, se considera de aplicación obligatoria a partir del martes 06 de febrero de 2018, para los efectos previstos en el punto séptimo del Acuerdo General Plenario 19/2013.</w:t>
      </w:r>
    </w:p>
    <w:p w:rsidR="00A40D47" w:rsidRPr="005906CF" w:rsidRDefault="00A40D47" w:rsidP="005906CF">
      <w:pPr>
        <w:jc w:val="both"/>
      </w:pPr>
    </w:p>
    <w:sectPr w:rsidR="00A40D47" w:rsidRPr="005906C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6CF"/>
    <w:rsid w:val="005906CF"/>
    <w:rsid w:val="00A40D4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BFA4BC-2AA7-4451-A4FA-CB0DCD897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5906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906CF"/>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5906C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lbl-encabezado-negro">
    <w:name w:val="lbl-encabezado-negro"/>
    <w:basedOn w:val="Fuentedeprrafopredeter"/>
    <w:rsid w:val="005906CF"/>
  </w:style>
  <w:style w:type="paragraph" w:customStyle="1" w:styleId="francesa">
    <w:name w:val="francesa"/>
    <w:basedOn w:val="Normal"/>
    <w:rsid w:val="005906CF"/>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8115626">
      <w:bodyDiv w:val="1"/>
      <w:marLeft w:val="0"/>
      <w:marRight w:val="0"/>
      <w:marTop w:val="0"/>
      <w:marBottom w:val="0"/>
      <w:divBdr>
        <w:top w:val="none" w:sz="0" w:space="0" w:color="auto"/>
        <w:left w:val="none" w:sz="0" w:space="0" w:color="auto"/>
        <w:bottom w:val="none" w:sz="0" w:space="0" w:color="auto"/>
        <w:right w:val="none" w:sz="0" w:space="0" w:color="auto"/>
      </w:divBdr>
      <w:divsChild>
        <w:div w:id="2058775545">
          <w:marLeft w:val="0"/>
          <w:marRight w:val="0"/>
          <w:marTop w:val="0"/>
          <w:marBottom w:val="0"/>
          <w:divBdr>
            <w:top w:val="none" w:sz="0" w:space="0" w:color="auto"/>
            <w:left w:val="none" w:sz="0" w:space="0" w:color="auto"/>
            <w:bottom w:val="none" w:sz="0" w:space="0" w:color="auto"/>
            <w:right w:val="none" w:sz="0" w:space="0" w:color="auto"/>
          </w:divBdr>
          <w:divsChild>
            <w:div w:id="757213907">
              <w:marLeft w:val="0"/>
              <w:marRight w:val="0"/>
              <w:marTop w:val="0"/>
              <w:marBottom w:val="0"/>
              <w:divBdr>
                <w:top w:val="none" w:sz="0" w:space="0" w:color="auto"/>
                <w:left w:val="none" w:sz="0" w:space="0" w:color="auto"/>
                <w:bottom w:val="none" w:sz="0" w:space="0" w:color="auto"/>
                <w:right w:val="none" w:sz="0" w:space="0" w:color="auto"/>
              </w:divBdr>
              <w:divsChild>
                <w:div w:id="63819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018820">
          <w:marLeft w:val="0"/>
          <w:marRight w:val="0"/>
          <w:marTop w:val="0"/>
          <w:marBottom w:val="0"/>
          <w:divBdr>
            <w:top w:val="none" w:sz="0" w:space="0" w:color="auto"/>
            <w:left w:val="none" w:sz="0" w:space="0" w:color="auto"/>
            <w:bottom w:val="none" w:sz="0" w:space="0" w:color="auto"/>
            <w:right w:val="none" w:sz="0" w:space="0" w:color="auto"/>
          </w:divBdr>
        </w:div>
        <w:div w:id="1728603917">
          <w:marLeft w:val="0"/>
          <w:marRight w:val="0"/>
          <w:marTop w:val="0"/>
          <w:marBottom w:val="0"/>
          <w:divBdr>
            <w:top w:val="none" w:sz="0" w:space="0" w:color="auto"/>
            <w:left w:val="none" w:sz="0" w:space="0" w:color="auto"/>
            <w:bottom w:val="none" w:sz="0" w:space="0" w:color="auto"/>
            <w:right w:val="none" w:sz="0" w:space="0" w:color="auto"/>
          </w:divBdr>
          <w:divsChild>
            <w:div w:id="187261600">
              <w:marLeft w:val="0"/>
              <w:marRight w:val="0"/>
              <w:marTop w:val="0"/>
              <w:marBottom w:val="0"/>
              <w:divBdr>
                <w:top w:val="none" w:sz="0" w:space="0" w:color="auto"/>
                <w:left w:val="none" w:sz="0" w:space="0" w:color="auto"/>
                <w:bottom w:val="none" w:sz="0" w:space="0" w:color="auto"/>
                <w:right w:val="none" w:sz="0" w:space="0" w:color="auto"/>
              </w:divBdr>
            </w:div>
            <w:div w:id="2138453887">
              <w:marLeft w:val="0"/>
              <w:marRight w:val="0"/>
              <w:marTop w:val="0"/>
              <w:marBottom w:val="0"/>
              <w:divBdr>
                <w:top w:val="none" w:sz="0" w:space="0" w:color="auto"/>
                <w:left w:val="none" w:sz="0" w:space="0" w:color="auto"/>
                <w:bottom w:val="none" w:sz="0" w:space="0" w:color="auto"/>
                <w:right w:val="none" w:sz="0" w:space="0" w:color="auto"/>
              </w:divBdr>
              <w:divsChild>
                <w:div w:id="928808031">
                  <w:marLeft w:val="0"/>
                  <w:marRight w:val="0"/>
                  <w:marTop w:val="0"/>
                  <w:marBottom w:val="0"/>
                  <w:divBdr>
                    <w:top w:val="none" w:sz="0" w:space="0" w:color="auto"/>
                    <w:left w:val="none" w:sz="0" w:space="0" w:color="auto"/>
                    <w:bottom w:val="none" w:sz="0" w:space="0" w:color="auto"/>
                    <w:right w:val="none" w:sz="0" w:space="0" w:color="auto"/>
                  </w:divBdr>
                </w:div>
              </w:divsChild>
            </w:div>
            <w:div w:id="1929266745">
              <w:marLeft w:val="0"/>
              <w:marRight w:val="0"/>
              <w:marTop w:val="0"/>
              <w:marBottom w:val="0"/>
              <w:divBdr>
                <w:top w:val="none" w:sz="0" w:space="0" w:color="auto"/>
                <w:left w:val="none" w:sz="0" w:space="0" w:color="auto"/>
                <w:bottom w:val="none" w:sz="0" w:space="0" w:color="auto"/>
                <w:right w:val="none" w:sz="0" w:space="0" w:color="auto"/>
              </w:divBdr>
              <w:divsChild>
                <w:div w:id="715347894">
                  <w:marLeft w:val="0"/>
                  <w:marRight w:val="0"/>
                  <w:marTop w:val="0"/>
                  <w:marBottom w:val="0"/>
                  <w:divBdr>
                    <w:top w:val="none" w:sz="0" w:space="0" w:color="auto"/>
                    <w:left w:val="none" w:sz="0" w:space="0" w:color="auto"/>
                    <w:bottom w:val="none" w:sz="0" w:space="0" w:color="auto"/>
                    <w:right w:val="none" w:sz="0" w:space="0" w:color="auto"/>
                  </w:divBdr>
                </w:div>
              </w:divsChild>
            </w:div>
            <w:div w:id="348140914">
              <w:marLeft w:val="0"/>
              <w:marRight w:val="0"/>
              <w:marTop w:val="0"/>
              <w:marBottom w:val="0"/>
              <w:divBdr>
                <w:top w:val="none" w:sz="0" w:space="0" w:color="auto"/>
                <w:left w:val="none" w:sz="0" w:space="0" w:color="auto"/>
                <w:bottom w:val="none" w:sz="0" w:space="0" w:color="auto"/>
                <w:right w:val="none" w:sz="0" w:space="0" w:color="auto"/>
              </w:divBdr>
            </w:div>
            <w:div w:id="1556821011">
              <w:marLeft w:val="0"/>
              <w:marRight w:val="0"/>
              <w:marTop w:val="0"/>
              <w:marBottom w:val="0"/>
              <w:divBdr>
                <w:top w:val="none" w:sz="0" w:space="0" w:color="auto"/>
                <w:left w:val="none" w:sz="0" w:space="0" w:color="auto"/>
                <w:bottom w:val="none" w:sz="0" w:space="0" w:color="auto"/>
                <w:right w:val="none" w:sz="0" w:space="0" w:color="auto"/>
              </w:divBdr>
            </w:div>
          </w:divsChild>
        </w:div>
        <w:div w:id="615403778">
          <w:marLeft w:val="0"/>
          <w:marRight w:val="0"/>
          <w:marTop w:val="0"/>
          <w:marBottom w:val="0"/>
          <w:divBdr>
            <w:top w:val="none" w:sz="0" w:space="0" w:color="auto"/>
            <w:left w:val="none" w:sz="0" w:space="0" w:color="auto"/>
            <w:bottom w:val="none" w:sz="0" w:space="0" w:color="auto"/>
            <w:right w:val="none" w:sz="0" w:space="0" w:color="auto"/>
          </w:divBdr>
          <w:divsChild>
            <w:div w:id="32736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771</Words>
  <Characters>4242</Characters>
  <Application>Microsoft Office Word</Application>
  <DocSecurity>0</DocSecurity>
  <Lines>35</Lines>
  <Paragraphs>10</Paragraphs>
  <ScaleCrop>false</ScaleCrop>
  <Company/>
  <LinksUpToDate>false</LinksUpToDate>
  <CharactersWithSpaces>5003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2018-02-09T19:08:00Z</dcterms:created>
  <dcterms:modified xsi:type="dcterms:W3CDTF">2018-02-09T19:10:00Z</dcterms:modified>
</cp:coreProperties>
</file>