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3167" w:type="dxa"/>
        <w:tblCellSpacing w:w="0" w:type="dxa"/>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3360"/>
        <w:gridCol w:w="4659"/>
        <w:gridCol w:w="2574"/>
        <w:gridCol w:w="2574"/>
      </w:tblGrid>
      <w:tr w:rsidR="003E044F" w:rsidRPr="003E044F" w:rsidTr="003E044F">
        <w:trPr>
          <w:tblCellSpacing w:w="0" w:type="dxa"/>
        </w:trPr>
        <w:tc>
          <w:tcPr>
            <w:tcW w:w="2574" w:type="dxa"/>
            <w:tcBorders>
              <w:top w:val="single" w:sz="6" w:space="0" w:color="A0A0A0"/>
              <w:left w:val="single" w:sz="6" w:space="0" w:color="A0A0A0"/>
              <w:bottom w:val="single" w:sz="6" w:space="0" w:color="A0A0A0"/>
              <w:right w:val="single" w:sz="6" w:space="0" w:color="A0A0A0"/>
            </w:tcBorders>
            <w:shd w:val="clear" w:color="auto" w:fill="DDDDDD"/>
            <w:vAlign w:val="center"/>
            <w:hideMark/>
          </w:tcPr>
          <w:p w:rsidR="003E044F" w:rsidRPr="003E044F" w:rsidRDefault="003E044F" w:rsidP="003E044F">
            <w:pPr>
              <w:spacing w:after="0" w:line="240" w:lineRule="auto"/>
              <w:rPr>
                <w:rFonts w:ascii="Times New Roman" w:eastAsia="Times New Roman" w:hAnsi="Times New Roman" w:cs="Times New Roman"/>
                <w:color w:val="444444"/>
                <w:sz w:val="24"/>
                <w:szCs w:val="24"/>
                <w:lang w:eastAsia="es-ES"/>
              </w:rPr>
            </w:pPr>
            <w:r w:rsidRPr="003E044F">
              <w:rPr>
                <w:rFonts w:ascii="Times New Roman" w:eastAsia="Times New Roman" w:hAnsi="Times New Roman" w:cs="Times New Roman"/>
                <w:color w:val="000000"/>
                <w:sz w:val="24"/>
                <w:szCs w:val="24"/>
                <w:lang w:eastAsia="es-ES"/>
              </w:rPr>
              <w:t>Tesis: XVII.3o.C.T.3 L (10a.)</w:t>
            </w:r>
          </w:p>
        </w:tc>
        <w:tc>
          <w:tcPr>
            <w:tcW w:w="0" w:type="auto"/>
            <w:tcBorders>
              <w:top w:val="single" w:sz="6" w:space="0" w:color="A0A0A0"/>
              <w:left w:val="single" w:sz="6" w:space="0" w:color="A0A0A0"/>
              <w:bottom w:val="single" w:sz="6" w:space="0" w:color="A0A0A0"/>
              <w:right w:val="single" w:sz="6" w:space="0" w:color="A0A0A0"/>
            </w:tcBorders>
            <w:shd w:val="clear" w:color="auto" w:fill="DDDDDD"/>
            <w:vAlign w:val="center"/>
            <w:hideMark/>
          </w:tcPr>
          <w:p w:rsidR="003E044F" w:rsidRPr="003E044F" w:rsidRDefault="003E044F" w:rsidP="003E044F">
            <w:pPr>
              <w:spacing w:after="0" w:line="240" w:lineRule="auto"/>
              <w:rPr>
                <w:rFonts w:ascii="Times New Roman" w:eastAsia="Times New Roman" w:hAnsi="Times New Roman" w:cs="Times New Roman"/>
                <w:color w:val="444444"/>
                <w:sz w:val="24"/>
                <w:szCs w:val="24"/>
                <w:lang w:eastAsia="es-ES"/>
              </w:rPr>
            </w:pPr>
            <w:r w:rsidRPr="003E044F">
              <w:rPr>
                <w:rFonts w:ascii="Times New Roman" w:eastAsia="Times New Roman" w:hAnsi="Times New Roman" w:cs="Times New Roman"/>
                <w:color w:val="000000"/>
                <w:sz w:val="24"/>
                <w:szCs w:val="24"/>
                <w:lang w:eastAsia="es-ES"/>
              </w:rPr>
              <w:t>Semanario Judicial de la Federación</w:t>
            </w:r>
          </w:p>
        </w:tc>
        <w:tc>
          <w:tcPr>
            <w:tcW w:w="2574" w:type="dxa"/>
            <w:tcBorders>
              <w:top w:val="single" w:sz="6" w:space="0" w:color="A0A0A0"/>
              <w:left w:val="single" w:sz="6" w:space="0" w:color="A0A0A0"/>
              <w:bottom w:val="single" w:sz="6" w:space="0" w:color="A0A0A0"/>
              <w:right w:val="single" w:sz="6" w:space="0" w:color="A0A0A0"/>
            </w:tcBorders>
            <w:shd w:val="clear" w:color="auto" w:fill="DDDDDD"/>
            <w:vAlign w:val="center"/>
            <w:hideMark/>
          </w:tcPr>
          <w:p w:rsidR="003E044F" w:rsidRPr="003E044F" w:rsidRDefault="003E044F" w:rsidP="003E044F">
            <w:pPr>
              <w:spacing w:after="0" w:line="240" w:lineRule="auto"/>
              <w:rPr>
                <w:rFonts w:ascii="Times New Roman" w:eastAsia="Times New Roman" w:hAnsi="Times New Roman" w:cs="Times New Roman"/>
                <w:color w:val="444444"/>
                <w:sz w:val="24"/>
                <w:szCs w:val="24"/>
                <w:lang w:eastAsia="es-ES"/>
              </w:rPr>
            </w:pPr>
            <w:r w:rsidRPr="003E044F">
              <w:rPr>
                <w:rFonts w:ascii="Times New Roman" w:eastAsia="Times New Roman" w:hAnsi="Times New Roman" w:cs="Times New Roman"/>
                <w:color w:val="000000"/>
                <w:sz w:val="24"/>
                <w:szCs w:val="24"/>
                <w:lang w:eastAsia="es-ES"/>
              </w:rPr>
              <w:t>Décima Época</w:t>
            </w:r>
          </w:p>
        </w:tc>
        <w:tc>
          <w:tcPr>
            <w:tcW w:w="2574" w:type="dxa"/>
            <w:tcBorders>
              <w:top w:val="single" w:sz="6" w:space="0" w:color="A0A0A0"/>
              <w:left w:val="single" w:sz="6" w:space="0" w:color="A0A0A0"/>
              <w:bottom w:val="single" w:sz="6" w:space="0" w:color="A0A0A0"/>
              <w:right w:val="single" w:sz="6" w:space="0" w:color="A0A0A0"/>
            </w:tcBorders>
            <w:shd w:val="clear" w:color="auto" w:fill="DDDDDD"/>
            <w:vAlign w:val="center"/>
            <w:hideMark/>
          </w:tcPr>
          <w:p w:rsidR="003E044F" w:rsidRPr="003E044F" w:rsidRDefault="003E044F" w:rsidP="003E044F">
            <w:pPr>
              <w:spacing w:after="0" w:line="240" w:lineRule="auto"/>
              <w:rPr>
                <w:rFonts w:ascii="Times New Roman" w:eastAsia="Times New Roman" w:hAnsi="Times New Roman" w:cs="Times New Roman"/>
                <w:color w:val="444444"/>
                <w:sz w:val="24"/>
                <w:szCs w:val="24"/>
                <w:lang w:eastAsia="es-ES"/>
              </w:rPr>
            </w:pPr>
            <w:r w:rsidRPr="003E044F">
              <w:rPr>
                <w:rFonts w:ascii="Times New Roman" w:eastAsia="Times New Roman" w:hAnsi="Times New Roman" w:cs="Times New Roman"/>
                <w:color w:val="000000"/>
                <w:sz w:val="24"/>
                <w:szCs w:val="24"/>
                <w:lang w:eastAsia="es-ES"/>
              </w:rPr>
              <w:t>2016199</w:t>
            </w:r>
            <w:r w:rsidRPr="003E044F">
              <w:rPr>
                <w:rFonts w:ascii="Times New Roman" w:eastAsia="Times New Roman" w:hAnsi="Times New Roman" w:cs="Times New Roman"/>
                <w:color w:val="444444"/>
                <w:sz w:val="24"/>
                <w:szCs w:val="24"/>
                <w:lang w:eastAsia="es-ES"/>
              </w:rPr>
              <w:t>        </w:t>
            </w:r>
            <w:r w:rsidRPr="003E044F">
              <w:rPr>
                <w:rFonts w:ascii="Times New Roman" w:eastAsia="Times New Roman" w:hAnsi="Times New Roman" w:cs="Times New Roman"/>
                <w:color w:val="000000"/>
                <w:sz w:val="24"/>
                <w:szCs w:val="24"/>
                <w:lang w:eastAsia="es-ES"/>
              </w:rPr>
              <w:t>1 de 1</w:t>
            </w:r>
          </w:p>
        </w:tc>
      </w:tr>
      <w:tr w:rsidR="003E044F" w:rsidRPr="003E044F" w:rsidTr="003E044F">
        <w:trPr>
          <w:tblCellSpacing w:w="0" w:type="dxa"/>
        </w:trPr>
        <w:tc>
          <w:tcPr>
            <w:tcW w:w="0" w:type="auto"/>
            <w:tcBorders>
              <w:top w:val="single" w:sz="6" w:space="0" w:color="A0A0A0"/>
              <w:left w:val="single" w:sz="6" w:space="0" w:color="A0A0A0"/>
              <w:bottom w:val="single" w:sz="6" w:space="0" w:color="A0A0A0"/>
              <w:right w:val="single" w:sz="6" w:space="0" w:color="A0A0A0"/>
            </w:tcBorders>
            <w:vAlign w:val="center"/>
            <w:hideMark/>
          </w:tcPr>
          <w:p w:rsidR="003E044F" w:rsidRPr="003E044F" w:rsidRDefault="003E044F" w:rsidP="003E044F">
            <w:pPr>
              <w:spacing w:after="0" w:line="240" w:lineRule="auto"/>
              <w:rPr>
                <w:rFonts w:ascii="Times New Roman" w:eastAsia="Times New Roman" w:hAnsi="Times New Roman" w:cs="Times New Roman"/>
                <w:color w:val="444444"/>
                <w:sz w:val="24"/>
                <w:szCs w:val="24"/>
                <w:lang w:eastAsia="es-ES"/>
              </w:rPr>
            </w:pPr>
            <w:r w:rsidRPr="003E044F">
              <w:rPr>
                <w:rFonts w:ascii="Times New Roman" w:eastAsia="Times New Roman" w:hAnsi="Times New Roman" w:cs="Times New Roman"/>
                <w:color w:val="444444"/>
                <w:sz w:val="24"/>
                <w:szCs w:val="24"/>
                <w:lang w:eastAsia="es-ES"/>
              </w:rPr>
              <w:t>Tribunales Colegiados de Circuito</w:t>
            </w:r>
          </w:p>
        </w:tc>
        <w:tc>
          <w:tcPr>
            <w:tcW w:w="0" w:type="auto"/>
            <w:tcBorders>
              <w:top w:val="single" w:sz="6" w:space="0" w:color="A0A0A0"/>
              <w:left w:val="single" w:sz="6" w:space="0" w:color="A0A0A0"/>
              <w:bottom w:val="single" w:sz="6" w:space="0" w:color="A0A0A0"/>
              <w:right w:val="single" w:sz="6" w:space="0" w:color="A0A0A0"/>
            </w:tcBorders>
            <w:vAlign w:val="center"/>
            <w:hideMark/>
          </w:tcPr>
          <w:p w:rsidR="003E044F" w:rsidRPr="003E044F" w:rsidRDefault="003E044F" w:rsidP="003E044F">
            <w:pPr>
              <w:spacing w:after="0" w:line="240" w:lineRule="auto"/>
              <w:rPr>
                <w:rFonts w:ascii="Times New Roman" w:eastAsia="Times New Roman" w:hAnsi="Times New Roman" w:cs="Times New Roman"/>
                <w:color w:val="444444"/>
                <w:sz w:val="24"/>
                <w:szCs w:val="24"/>
                <w:lang w:eastAsia="es-ES"/>
              </w:rPr>
            </w:pPr>
            <w:r w:rsidRPr="003E044F">
              <w:rPr>
                <w:rFonts w:ascii="Times New Roman" w:eastAsia="Times New Roman" w:hAnsi="Times New Roman" w:cs="Times New Roman"/>
                <w:color w:val="444444"/>
                <w:sz w:val="24"/>
                <w:szCs w:val="24"/>
                <w:lang w:eastAsia="es-ES"/>
              </w:rPr>
              <w:t>Publicación: viernes 09 de febrero de 2018 10:11 h</w:t>
            </w:r>
          </w:p>
        </w:tc>
        <w:tc>
          <w:tcPr>
            <w:tcW w:w="0" w:type="auto"/>
            <w:tcBorders>
              <w:top w:val="single" w:sz="6" w:space="0" w:color="A0A0A0"/>
              <w:left w:val="single" w:sz="6" w:space="0" w:color="A0A0A0"/>
              <w:bottom w:val="single" w:sz="6" w:space="0" w:color="A0A0A0"/>
              <w:right w:val="single" w:sz="6" w:space="0" w:color="A0A0A0"/>
            </w:tcBorders>
            <w:vAlign w:val="center"/>
            <w:hideMark/>
          </w:tcPr>
          <w:p w:rsidR="003E044F" w:rsidRPr="003E044F" w:rsidRDefault="003E044F" w:rsidP="003E044F">
            <w:pPr>
              <w:spacing w:after="0" w:line="240" w:lineRule="auto"/>
              <w:rPr>
                <w:rFonts w:ascii="Times New Roman" w:eastAsia="Times New Roman" w:hAnsi="Times New Roman" w:cs="Times New Roman"/>
                <w:color w:val="444444"/>
                <w:sz w:val="24"/>
                <w:szCs w:val="24"/>
                <w:lang w:eastAsia="es-ES"/>
              </w:rPr>
            </w:pPr>
          </w:p>
        </w:tc>
        <w:tc>
          <w:tcPr>
            <w:tcW w:w="0" w:type="auto"/>
            <w:tcBorders>
              <w:top w:val="single" w:sz="6" w:space="0" w:color="A0A0A0"/>
              <w:left w:val="single" w:sz="6" w:space="0" w:color="A0A0A0"/>
              <w:bottom w:val="single" w:sz="6" w:space="0" w:color="A0A0A0"/>
              <w:right w:val="single" w:sz="6" w:space="0" w:color="A0A0A0"/>
            </w:tcBorders>
            <w:vAlign w:val="center"/>
            <w:hideMark/>
          </w:tcPr>
          <w:p w:rsidR="003E044F" w:rsidRPr="003E044F" w:rsidRDefault="003E044F" w:rsidP="003E044F">
            <w:pPr>
              <w:spacing w:after="0" w:line="240" w:lineRule="auto"/>
              <w:rPr>
                <w:rFonts w:ascii="Times New Roman" w:eastAsia="Times New Roman" w:hAnsi="Times New Roman" w:cs="Times New Roman"/>
                <w:color w:val="444444"/>
                <w:sz w:val="24"/>
                <w:szCs w:val="24"/>
                <w:lang w:eastAsia="es-ES"/>
              </w:rPr>
            </w:pPr>
            <w:r w:rsidRPr="003E044F">
              <w:rPr>
                <w:rFonts w:ascii="Times New Roman" w:eastAsia="Times New Roman" w:hAnsi="Times New Roman" w:cs="Times New Roman"/>
                <w:color w:val="444444"/>
                <w:sz w:val="24"/>
                <w:szCs w:val="24"/>
                <w:lang w:eastAsia="es-ES"/>
              </w:rPr>
              <w:t>Tesis Aislada (Laboral)</w:t>
            </w:r>
          </w:p>
        </w:tc>
      </w:tr>
    </w:tbl>
    <w:p w:rsidR="003E044F" w:rsidRPr="003E044F" w:rsidRDefault="003E044F" w:rsidP="003E044F">
      <w:pPr>
        <w:spacing w:after="0" w:line="240" w:lineRule="auto"/>
        <w:rPr>
          <w:rFonts w:ascii="Calibri" w:eastAsia="Times New Roman" w:hAnsi="Calibri" w:cs="Times New Roman"/>
          <w:vanish/>
          <w:color w:val="000000"/>
          <w:sz w:val="26"/>
          <w:szCs w:val="26"/>
          <w:lang w:eastAsia="es-ES"/>
        </w:rPr>
      </w:pPr>
    </w:p>
    <w:tbl>
      <w:tblPr>
        <w:tblW w:w="13167" w:type="dxa"/>
        <w:tblCellSpacing w:w="0" w:type="dxa"/>
        <w:tblBorders>
          <w:top w:val="single" w:sz="2" w:space="0" w:color="FFFFFF"/>
          <w:left w:val="single" w:sz="2" w:space="0" w:color="FFFFFF"/>
          <w:bottom w:val="single" w:sz="2" w:space="0" w:color="FFFFFF"/>
          <w:right w:val="single" w:sz="2" w:space="0" w:color="FFFFFF"/>
        </w:tblBorders>
        <w:tblCellMar>
          <w:top w:w="15" w:type="dxa"/>
          <w:left w:w="15" w:type="dxa"/>
          <w:bottom w:w="15" w:type="dxa"/>
          <w:right w:w="15" w:type="dxa"/>
        </w:tblCellMar>
        <w:tblLook w:val="04A0" w:firstRow="1" w:lastRow="0" w:firstColumn="1" w:lastColumn="0" w:noHBand="0" w:noVBand="1"/>
      </w:tblPr>
      <w:tblGrid>
        <w:gridCol w:w="13167"/>
      </w:tblGrid>
      <w:tr w:rsidR="003E044F" w:rsidRPr="003E044F" w:rsidTr="003E044F">
        <w:trPr>
          <w:tblCellSpacing w:w="0" w:type="dxa"/>
        </w:trPr>
        <w:tc>
          <w:tcPr>
            <w:tcW w:w="13137" w:type="dxa"/>
            <w:tcBorders>
              <w:top w:val="dotted" w:sz="2" w:space="0" w:color="D4D4D4"/>
              <w:left w:val="dotted" w:sz="2" w:space="0" w:color="D4D4D4"/>
              <w:bottom w:val="dotted" w:sz="2" w:space="0" w:color="D4D4D4"/>
              <w:right w:val="dotted" w:sz="2" w:space="0" w:color="D4D4D4"/>
            </w:tcBorders>
            <w:vAlign w:val="center"/>
            <w:hideMark/>
          </w:tcPr>
          <w:p w:rsidR="003E044F" w:rsidRPr="003E044F" w:rsidRDefault="003E044F" w:rsidP="003E044F">
            <w:pPr>
              <w:spacing w:after="0" w:line="240" w:lineRule="auto"/>
              <w:jc w:val="center"/>
              <w:rPr>
                <w:rFonts w:ascii="Times New Roman" w:eastAsia="Times New Roman" w:hAnsi="Times New Roman" w:cs="Times New Roman"/>
                <w:color w:val="444444"/>
                <w:sz w:val="24"/>
                <w:szCs w:val="24"/>
                <w:lang w:eastAsia="es-ES"/>
              </w:rPr>
            </w:pPr>
            <w:r w:rsidRPr="003E044F">
              <w:rPr>
                <w:rFonts w:ascii="Times New Roman" w:eastAsia="Times New Roman" w:hAnsi="Times New Roman" w:cs="Times New Roman"/>
                <w:noProof/>
                <w:color w:val="444444"/>
                <w:sz w:val="24"/>
                <w:szCs w:val="24"/>
                <w:lang w:eastAsia="es-ES"/>
              </w:rPr>
              <w:drawing>
                <wp:inline distT="0" distB="0" distL="0" distR="0">
                  <wp:extent cx="314325" cy="314325"/>
                  <wp:effectExtent l="0" t="0" r="9525" b="9525"/>
                  <wp:docPr id="1" name="Imagen 1" descr="https://sjf.scjn.gob.mx/SJFSem/Image/Plegar/PlegaArrib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jf.scjn.gob.mx/SJFSem/Image/Plegar/PlegaArriba.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r>
    </w:tbl>
    <w:p w:rsidR="003E044F" w:rsidRPr="003E044F" w:rsidRDefault="003E044F" w:rsidP="003E044F">
      <w:pPr>
        <w:spacing w:after="0" w:line="240" w:lineRule="auto"/>
        <w:jc w:val="both"/>
        <w:rPr>
          <w:rFonts w:ascii="Calibri" w:eastAsia="Times New Roman" w:hAnsi="Calibri" w:cs="Times New Roman"/>
          <w:b/>
          <w:bCs/>
          <w:color w:val="000000"/>
          <w:sz w:val="26"/>
          <w:szCs w:val="26"/>
          <w:lang w:eastAsia="es-ES"/>
        </w:rPr>
      </w:pPr>
      <w:bookmarkStart w:id="0" w:name="_GoBack"/>
      <w:r w:rsidRPr="003E044F">
        <w:rPr>
          <w:rFonts w:ascii="Calibri" w:eastAsia="Times New Roman" w:hAnsi="Calibri" w:cs="Times New Roman"/>
          <w:b/>
          <w:bCs/>
          <w:color w:val="000000"/>
          <w:sz w:val="26"/>
          <w:szCs w:val="26"/>
          <w:lang w:eastAsia="es-ES"/>
        </w:rPr>
        <w:t>RECIBOS DE NÓMINA CON SELLO DIGITAL</w:t>
      </w:r>
      <w:bookmarkEnd w:id="0"/>
      <w:r w:rsidRPr="003E044F">
        <w:rPr>
          <w:rFonts w:ascii="Calibri" w:eastAsia="Times New Roman" w:hAnsi="Calibri" w:cs="Times New Roman"/>
          <w:b/>
          <w:bCs/>
          <w:color w:val="000000"/>
          <w:sz w:val="26"/>
          <w:szCs w:val="26"/>
          <w:lang w:eastAsia="es-ES"/>
        </w:rPr>
        <w:t>. AUN CUANDO CAREZCAN DE LA FIRMA DEL TRABAJADOR, TIENEN VALOR PROBATORIO EN EL JUICIO LABORAL, EN TÉRMINOS DEL ARTÍCULO 99, FRACCIÓN III, DE LA LEY DEL IMPUESTO SOBRE LA RENTA.</w:t>
      </w:r>
    </w:p>
    <w:p w:rsidR="003E044F" w:rsidRPr="003E044F" w:rsidRDefault="003E044F" w:rsidP="003E044F">
      <w:pPr>
        <w:spacing w:after="260" w:line="240" w:lineRule="auto"/>
        <w:rPr>
          <w:rFonts w:ascii="Calibri" w:eastAsia="Times New Roman" w:hAnsi="Calibri" w:cs="Times New Roman"/>
          <w:color w:val="000000"/>
          <w:sz w:val="26"/>
          <w:szCs w:val="26"/>
          <w:lang w:eastAsia="es-ES"/>
        </w:rPr>
      </w:pPr>
    </w:p>
    <w:p w:rsidR="003E044F" w:rsidRPr="003E044F" w:rsidRDefault="003E044F" w:rsidP="003E044F">
      <w:pPr>
        <w:spacing w:after="0" w:line="240" w:lineRule="auto"/>
        <w:jc w:val="both"/>
        <w:rPr>
          <w:rFonts w:ascii="Calibri" w:eastAsia="Times New Roman" w:hAnsi="Calibri" w:cs="Times New Roman"/>
          <w:color w:val="000000"/>
          <w:sz w:val="26"/>
          <w:szCs w:val="26"/>
          <w:lang w:eastAsia="es-ES"/>
        </w:rPr>
      </w:pPr>
      <w:r w:rsidRPr="003E044F">
        <w:rPr>
          <w:rFonts w:ascii="Calibri" w:eastAsia="Times New Roman" w:hAnsi="Calibri" w:cs="Times New Roman"/>
          <w:color w:val="000000"/>
          <w:sz w:val="26"/>
          <w:szCs w:val="26"/>
          <w:lang w:eastAsia="es-ES"/>
        </w:rPr>
        <w:t>Las impresiones de los recibos de nómina aportados en el juicio laboral, no pueden valorarse como documentales públicas o privadas si carecen de firma autógrafa para su reconocimiento; sin embargo, deben analizarse en términos del artículo 776, fracción VIII, de la Ley Federal del Trabajo, como aquellos medios aportados por los descubrimientos de la ciencia, tales como documentos digitales o medios electrónicos, donde habrá de atenderse a la fiabilidad del método en que fueron generados, como es la cadena de caracteres generada con motivo de la transacción electrónica, el sello digital o cualquiera que permita autenticar el contenido de dicho documento digital, así como que se encuentre disponible para su ulterior consulta. Por ello, las impresiones de los recibos de nómina, aun cuando carezcan de la firma del trabajador, siempre que cuenten con el sello digital generado, correspondiente a la cadena de caracteres que permite autentificar la operación realizada, tienen valor probatorio en el juicio laboral, conforme al artículo 99, fracción III, de la Ley del Impuesto sobre la Renta, que señala que quienes hagan pagos por salarios y, en general, por la prestación de un servicio personal subordinado, deberán expedir y entregar </w:t>
      </w:r>
      <w:r w:rsidRPr="003E044F">
        <w:rPr>
          <w:rFonts w:ascii="Calibri" w:eastAsia="Times New Roman" w:hAnsi="Calibri" w:cs="Times New Roman"/>
          <w:b/>
          <w:bCs/>
          <w:color w:val="0000FF"/>
          <w:sz w:val="26"/>
          <w:szCs w:val="26"/>
          <w:shd w:val="clear" w:color="auto" w:fill="FFFF00"/>
          <w:lang w:eastAsia="es-ES"/>
        </w:rPr>
        <w:t>comprobantes</w:t>
      </w:r>
      <w:r w:rsidRPr="003E044F">
        <w:rPr>
          <w:rFonts w:ascii="Calibri" w:eastAsia="Times New Roman" w:hAnsi="Calibri" w:cs="Times New Roman"/>
          <w:color w:val="000000"/>
          <w:sz w:val="26"/>
          <w:szCs w:val="26"/>
          <w:lang w:eastAsia="es-ES"/>
        </w:rPr>
        <w:t> fiscales en la fecha en que se realice la erogación correspondiente, los que podrán utilizarse como constancia o recibo de pago para efectos de los numerales 132, fracciones VII y VIII, y 804, primer párrafo, fracciones II y IV, de la Ley Federal del Trabajo.</w:t>
      </w:r>
      <w:r w:rsidRPr="003E044F">
        <w:rPr>
          <w:rFonts w:ascii="Calibri" w:eastAsia="Times New Roman" w:hAnsi="Calibri" w:cs="Times New Roman"/>
          <w:color w:val="000000"/>
          <w:sz w:val="26"/>
          <w:szCs w:val="26"/>
          <w:lang w:eastAsia="es-ES"/>
        </w:rPr>
        <w:br/>
      </w:r>
      <w:r w:rsidRPr="003E044F">
        <w:rPr>
          <w:rFonts w:ascii="Calibri" w:eastAsia="Times New Roman" w:hAnsi="Calibri" w:cs="Times New Roman"/>
          <w:color w:val="000000"/>
          <w:sz w:val="26"/>
          <w:szCs w:val="26"/>
          <w:lang w:eastAsia="es-ES"/>
        </w:rPr>
        <w:br/>
        <w:t>TERCER TRIBUNAL COLEGIADO EN MATERIAS CIVIL Y DE TRABAJO DEL DÉCIMO SÉPTIMO CIRCUITO.</w:t>
      </w:r>
    </w:p>
    <w:p w:rsidR="003E044F" w:rsidRPr="003E044F" w:rsidRDefault="003E044F" w:rsidP="003E044F">
      <w:pPr>
        <w:spacing w:after="0" w:line="240" w:lineRule="auto"/>
        <w:rPr>
          <w:rFonts w:ascii="Calibri" w:eastAsia="Times New Roman" w:hAnsi="Calibri" w:cs="Times New Roman"/>
          <w:color w:val="000000"/>
          <w:sz w:val="26"/>
          <w:szCs w:val="26"/>
          <w:lang w:eastAsia="es-ES"/>
        </w:rPr>
      </w:pPr>
    </w:p>
    <w:p w:rsidR="003E044F" w:rsidRPr="003E044F" w:rsidRDefault="003E044F" w:rsidP="003E044F">
      <w:pPr>
        <w:spacing w:after="0" w:line="240" w:lineRule="auto"/>
        <w:jc w:val="both"/>
        <w:rPr>
          <w:rFonts w:ascii="Calibri" w:eastAsia="Times New Roman" w:hAnsi="Calibri" w:cs="Times New Roman"/>
          <w:color w:val="444444"/>
          <w:sz w:val="26"/>
          <w:szCs w:val="26"/>
          <w:lang w:eastAsia="es-ES"/>
        </w:rPr>
      </w:pPr>
      <w:r w:rsidRPr="003E044F">
        <w:rPr>
          <w:rFonts w:ascii="Calibri" w:eastAsia="Times New Roman" w:hAnsi="Calibri" w:cs="Times New Roman"/>
          <w:color w:val="444444"/>
          <w:sz w:val="26"/>
          <w:szCs w:val="26"/>
          <w:lang w:eastAsia="es-ES"/>
        </w:rPr>
        <w:t xml:space="preserve">Amparo directo 926/2016. Comercializadora Integral GP, S.A. de C.V. 9 de marzo de 2017. Unanimidad de votos. Ponente: Gabriel </w:t>
      </w:r>
      <w:proofErr w:type="spellStart"/>
      <w:r w:rsidRPr="003E044F">
        <w:rPr>
          <w:rFonts w:ascii="Calibri" w:eastAsia="Times New Roman" w:hAnsi="Calibri" w:cs="Times New Roman"/>
          <w:color w:val="444444"/>
          <w:sz w:val="26"/>
          <w:szCs w:val="26"/>
          <w:lang w:eastAsia="es-ES"/>
        </w:rPr>
        <w:t>Ascención</w:t>
      </w:r>
      <w:proofErr w:type="spellEnd"/>
      <w:r w:rsidRPr="003E044F">
        <w:rPr>
          <w:rFonts w:ascii="Calibri" w:eastAsia="Times New Roman" w:hAnsi="Calibri" w:cs="Times New Roman"/>
          <w:color w:val="444444"/>
          <w:sz w:val="26"/>
          <w:szCs w:val="26"/>
          <w:lang w:eastAsia="es-ES"/>
        </w:rPr>
        <w:t xml:space="preserve"> Galván Carrizales. Secretario: Jesús Manuel Corral Basurto.</w:t>
      </w:r>
    </w:p>
    <w:p w:rsidR="003E044F" w:rsidRPr="003E044F" w:rsidRDefault="003E044F" w:rsidP="003E044F">
      <w:pPr>
        <w:spacing w:after="0" w:line="240" w:lineRule="auto"/>
        <w:rPr>
          <w:rFonts w:ascii="Calibri" w:eastAsia="Times New Roman" w:hAnsi="Calibri" w:cs="Times New Roman"/>
          <w:color w:val="000000"/>
          <w:sz w:val="26"/>
          <w:szCs w:val="26"/>
          <w:lang w:eastAsia="es-ES"/>
        </w:rPr>
      </w:pPr>
      <w:r w:rsidRPr="003E044F">
        <w:rPr>
          <w:rFonts w:ascii="Calibri" w:eastAsia="Times New Roman" w:hAnsi="Calibri" w:cs="Times New Roman"/>
          <w:color w:val="000000"/>
          <w:sz w:val="26"/>
          <w:szCs w:val="26"/>
          <w:lang w:eastAsia="es-ES"/>
        </w:rPr>
        <w:pict>
          <v:rect id="_x0000_i1025" style="width:0;height:1.5pt" o:hralign="center" o:hrstd="t" o:hr="t" fillcolor="#a0a0a0" stroked="f"/>
        </w:pict>
      </w:r>
    </w:p>
    <w:p w:rsidR="003E044F" w:rsidRPr="003E044F" w:rsidRDefault="003E044F" w:rsidP="003E044F">
      <w:pPr>
        <w:spacing w:after="0" w:line="240" w:lineRule="auto"/>
        <w:rPr>
          <w:rFonts w:ascii="Calibri" w:eastAsia="Times New Roman" w:hAnsi="Calibri" w:cs="Times New Roman"/>
          <w:color w:val="000000"/>
          <w:sz w:val="26"/>
          <w:szCs w:val="26"/>
          <w:lang w:eastAsia="es-ES"/>
        </w:rPr>
      </w:pPr>
    </w:p>
    <w:p w:rsidR="003E044F" w:rsidRPr="003E044F" w:rsidRDefault="003E044F" w:rsidP="003E044F">
      <w:pPr>
        <w:spacing w:after="0" w:line="240" w:lineRule="auto"/>
        <w:rPr>
          <w:rFonts w:ascii="Calibri" w:eastAsia="Times New Roman" w:hAnsi="Calibri" w:cs="Times New Roman"/>
          <w:color w:val="C50032"/>
          <w:sz w:val="26"/>
          <w:szCs w:val="26"/>
          <w:lang w:eastAsia="es-ES"/>
        </w:rPr>
      </w:pPr>
      <w:r w:rsidRPr="003E044F">
        <w:rPr>
          <w:rFonts w:ascii="Calibri" w:eastAsia="Times New Roman" w:hAnsi="Calibri" w:cs="Times New Roman"/>
          <w:color w:val="C50032"/>
          <w:sz w:val="26"/>
          <w:szCs w:val="26"/>
          <w:lang w:eastAsia="es-ES"/>
        </w:rPr>
        <w:t>Esta tesis se publicó el viernes 09 de febrero de 2018 a las 10:11 horas en el Semanario Judicial de la Federación.</w:t>
      </w:r>
    </w:p>
    <w:p w:rsidR="001527B5" w:rsidRPr="003E044F" w:rsidRDefault="001527B5" w:rsidP="003E044F"/>
    <w:sectPr w:rsidR="001527B5" w:rsidRPr="003E044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044F"/>
    <w:rsid w:val="001527B5"/>
    <w:rsid w:val="003E044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09F4EC-82C5-4C91-B6A9-F2316D931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lbl-encabezado-negro">
    <w:name w:val="lbl-encabezado-negro"/>
    <w:basedOn w:val="Fuentedeprrafopredeter"/>
    <w:rsid w:val="003E044F"/>
  </w:style>
  <w:style w:type="character" w:customStyle="1" w:styleId="red">
    <w:name w:val="red"/>
    <w:basedOn w:val="Fuentedeprrafopredeter"/>
    <w:rsid w:val="003E044F"/>
  </w:style>
  <w:style w:type="paragraph" w:customStyle="1" w:styleId="francesa">
    <w:name w:val="francesa"/>
    <w:basedOn w:val="Normal"/>
    <w:rsid w:val="003E044F"/>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6805707">
      <w:bodyDiv w:val="1"/>
      <w:marLeft w:val="0"/>
      <w:marRight w:val="0"/>
      <w:marTop w:val="0"/>
      <w:marBottom w:val="0"/>
      <w:divBdr>
        <w:top w:val="none" w:sz="0" w:space="0" w:color="auto"/>
        <w:left w:val="none" w:sz="0" w:space="0" w:color="auto"/>
        <w:bottom w:val="none" w:sz="0" w:space="0" w:color="auto"/>
        <w:right w:val="none" w:sz="0" w:space="0" w:color="auto"/>
      </w:divBdr>
      <w:divsChild>
        <w:div w:id="106969875">
          <w:marLeft w:val="0"/>
          <w:marRight w:val="0"/>
          <w:marTop w:val="0"/>
          <w:marBottom w:val="0"/>
          <w:divBdr>
            <w:top w:val="none" w:sz="0" w:space="0" w:color="auto"/>
            <w:left w:val="none" w:sz="0" w:space="0" w:color="auto"/>
            <w:bottom w:val="none" w:sz="0" w:space="0" w:color="auto"/>
            <w:right w:val="none" w:sz="0" w:space="0" w:color="auto"/>
          </w:divBdr>
          <w:divsChild>
            <w:div w:id="423919014">
              <w:marLeft w:val="0"/>
              <w:marRight w:val="0"/>
              <w:marTop w:val="0"/>
              <w:marBottom w:val="0"/>
              <w:divBdr>
                <w:top w:val="none" w:sz="0" w:space="0" w:color="auto"/>
                <w:left w:val="none" w:sz="0" w:space="0" w:color="auto"/>
                <w:bottom w:val="none" w:sz="0" w:space="0" w:color="auto"/>
                <w:right w:val="none" w:sz="0" w:space="0" w:color="auto"/>
              </w:divBdr>
              <w:divsChild>
                <w:div w:id="351690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60420">
          <w:marLeft w:val="0"/>
          <w:marRight w:val="0"/>
          <w:marTop w:val="0"/>
          <w:marBottom w:val="0"/>
          <w:divBdr>
            <w:top w:val="none" w:sz="0" w:space="0" w:color="auto"/>
            <w:left w:val="none" w:sz="0" w:space="0" w:color="auto"/>
            <w:bottom w:val="none" w:sz="0" w:space="0" w:color="auto"/>
            <w:right w:val="none" w:sz="0" w:space="0" w:color="auto"/>
          </w:divBdr>
          <w:divsChild>
            <w:div w:id="1894153994">
              <w:marLeft w:val="0"/>
              <w:marRight w:val="0"/>
              <w:marTop w:val="0"/>
              <w:marBottom w:val="0"/>
              <w:divBdr>
                <w:top w:val="none" w:sz="0" w:space="0" w:color="auto"/>
                <w:left w:val="none" w:sz="0" w:space="0" w:color="auto"/>
                <w:bottom w:val="none" w:sz="0" w:space="0" w:color="auto"/>
                <w:right w:val="none" w:sz="0" w:space="0" w:color="auto"/>
              </w:divBdr>
            </w:div>
            <w:div w:id="930355892">
              <w:marLeft w:val="0"/>
              <w:marRight w:val="0"/>
              <w:marTop w:val="0"/>
              <w:marBottom w:val="0"/>
              <w:divBdr>
                <w:top w:val="none" w:sz="0" w:space="0" w:color="auto"/>
                <w:left w:val="none" w:sz="0" w:space="0" w:color="auto"/>
                <w:bottom w:val="none" w:sz="0" w:space="0" w:color="auto"/>
                <w:right w:val="none" w:sz="0" w:space="0" w:color="auto"/>
              </w:divBdr>
              <w:divsChild>
                <w:div w:id="149533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4021681">
          <w:marLeft w:val="0"/>
          <w:marRight w:val="0"/>
          <w:marTop w:val="0"/>
          <w:marBottom w:val="0"/>
          <w:divBdr>
            <w:top w:val="none" w:sz="0" w:space="0" w:color="auto"/>
            <w:left w:val="none" w:sz="0" w:space="0" w:color="auto"/>
            <w:bottom w:val="none" w:sz="0" w:space="0" w:color="auto"/>
            <w:right w:val="none" w:sz="0" w:space="0" w:color="auto"/>
          </w:divBdr>
          <w:divsChild>
            <w:div w:id="113826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362</Words>
  <Characters>1991</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2018-02-12T18:15:00Z</dcterms:created>
  <dcterms:modified xsi:type="dcterms:W3CDTF">2018-02-12T18:16:00Z</dcterms:modified>
</cp:coreProperties>
</file>